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752EE" w:rsidRDefault="00F02719">
      <w:r>
        <w:rPr>
          <w:noProof/>
        </w:rPr>
        <w:drawing>
          <wp:anchor distT="0" distB="0" distL="114300" distR="114300" simplePos="0" relativeHeight="251662336" behindDoc="1" locked="0" layoutInCell="1" allowOverlap="1">
            <wp:simplePos x="0" y="0"/>
            <wp:positionH relativeFrom="column">
              <wp:posOffset>2057400</wp:posOffset>
            </wp:positionH>
            <wp:positionV relativeFrom="paragraph">
              <wp:posOffset>-25400</wp:posOffset>
            </wp:positionV>
            <wp:extent cx="1365250" cy="1003300"/>
            <wp:effectExtent l="25400" t="0" r="6350" b="0"/>
            <wp:wrapNone/>
            <wp:docPr id="1" name="" descr="ObeliscoEst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eliscoEstate.png"/>
                    <pic:cNvPicPr/>
                  </pic:nvPicPr>
                  <pic:blipFill>
                    <a:blip r:embed="rId4"/>
                    <a:stretch>
                      <a:fillRect/>
                    </a:stretch>
                  </pic:blipFill>
                  <pic:spPr>
                    <a:xfrm>
                      <a:off x="0" y="0"/>
                      <a:ext cx="1365250" cy="1003300"/>
                    </a:xfrm>
                    <a:prstGeom prst="rect">
                      <a:avLst/>
                    </a:prstGeom>
                  </pic:spPr>
                </pic:pic>
              </a:graphicData>
            </a:graphic>
          </wp:anchor>
        </w:drawing>
      </w:r>
      <w:r w:rsidR="002752EE">
        <w:tab/>
      </w:r>
      <w:r w:rsidR="002752EE">
        <w:tab/>
        <w:t xml:space="preserve">      </w:t>
      </w:r>
    </w:p>
    <w:p w:rsidR="002752EE" w:rsidRPr="00343F51" w:rsidRDefault="002752EE" w:rsidP="00F02719">
      <w:pPr>
        <w:jc w:val="center"/>
        <w:rPr>
          <w:sz w:val="22"/>
        </w:rPr>
      </w:pPr>
    </w:p>
    <w:p w:rsidR="00AA55DF" w:rsidRDefault="00AA55DF" w:rsidP="00F02719">
      <w:pPr>
        <w:jc w:val="center"/>
        <w:rPr>
          <w:b/>
          <w:sz w:val="32"/>
        </w:rPr>
      </w:pPr>
    </w:p>
    <w:p w:rsidR="00AA55DF" w:rsidRDefault="00AA55DF">
      <w:pPr>
        <w:rPr>
          <w:b/>
          <w:sz w:val="32"/>
        </w:rPr>
      </w:pPr>
    </w:p>
    <w:p w:rsidR="00D30E8F" w:rsidRDefault="00D30E8F">
      <w:pPr>
        <w:rPr>
          <w:b/>
          <w:sz w:val="32"/>
        </w:rPr>
      </w:pPr>
    </w:p>
    <w:p w:rsidR="00E2762A" w:rsidRDefault="00626819" w:rsidP="00970F50">
      <w:pPr>
        <w:jc w:val="both"/>
        <w:rPr>
          <w:sz w:val="23"/>
          <w:szCs w:val="28"/>
        </w:rPr>
      </w:pPr>
      <w:r w:rsidRPr="00626819">
        <w:rPr>
          <w:noProof/>
        </w:rPr>
        <w:pict>
          <v:shapetype id="_x0000_t202" coordsize="21600,21600" o:spt="202" path="m0,0l0,21600,21600,21600,21600,0xe">
            <v:stroke joinstyle="miter"/>
            <v:path gradientshapeok="t" o:connecttype="rect"/>
          </v:shapetype>
          <v:shape id="_x0000_s1026" type="#_x0000_t202" style="position:absolute;left:0;text-align:left;margin-left:18.25pt;margin-top:6.75pt;width:396pt;height:540pt;z-index:251665408;mso-position-horizontal:absolute;mso-position-vertical:absolute" filled="f" stroked="f">
            <v:fill o:detectmouseclick="t"/>
            <v:textbox style="mso-next-textbox:#_x0000_s1026" inset=",7.2pt,,7.2pt">
              <w:txbxContent>
                <w:p w:rsidR="009304F9" w:rsidRDefault="009304F9" w:rsidP="00B62A69">
                  <w:pPr>
                    <w:rPr>
                      <w:b/>
                      <w:sz w:val="32"/>
                      <w:szCs w:val="32"/>
                    </w:rPr>
                  </w:pPr>
                  <w:r>
                    <w:rPr>
                      <w:b/>
                      <w:sz w:val="32"/>
                      <w:szCs w:val="32"/>
                    </w:rPr>
                    <w:t xml:space="preserve">2014 OBELISCO Cabernet Sauvignon </w:t>
                  </w:r>
                </w:p>
                <w:p w:rsidR="009304F9" w:rsidRPr="00B62A69" w:rsidRDefault="009304F9" w:rsidP="00B62A69">
                  <w:pPr>
                    <w:rPr>
                      <w:szCs w:val="28"/>
                    </w:rPr>
                  </w:pPr>
                  <w:r w:rsidRPr="00B62A69">
                    <w:rPr>
                      <w:b/>
                      <w:szCs w:val="28"/>
                    </w:rPr>
                    <w:t>AVA:</w:t>
                  </w:r>
                  <w:r w:rsidRPr="00B62A69">
                    <w:rPr>
                      <w:szCs w:val="28"/>
                    </w:rPr>
                    <w:t xml:space="preserve"> Red Mountain</w:t>
                  </w:r>
                </w:p>
                <w:p w:rsidR="009304F9" w:rsidRPr="00B62A69" w:rsidRDefault="009304F9" w:rsidP="00B62A69">
                  <w:pPr>
                    <w:rPr>
                      <w:szCs w:val="28"/>
                    </w:rPr>
                  </w:pPr>
                  <w:r w:rsidRPr="00B62A69">
                    <w:rPr>
                      <w:b/>
                      <w:szCs w:val="28"/>
                    </w:rPr>
                    <w:t>Winemakers:</w:t>
                  </w:r>
                  <w:r w:rsidR="005B6678">
                    <w:rPr>
                      <w:szCs w:val="28"/>
                    </w:rPr>
                    <w:t xml:space="preserve"> Sarah </w:t>
                  </w:r>
                  <w:proofErr w:type="spellStart"/>
                  <w:r w:rsidR="005B6678">
                    <w:rPr>
                      <w:szCs w:val="28"/>
                    </w:rPr>
                    <w:t>Goedhart</w:t>
                  </w:r>
                  <w:proofErr w:type="spellEnd"/>
                  <w:r w:rsidRPr="00B62A69">
                    <w:rPr>
                      <w:szCs w:val="28"/>
                    </w:rPr>
                    <w:t>, Doug Long</w:t>
                  </w:r>
                </w:p>
                <w:p w:rsidR="009304F9" w:rsidRPr="00B62A69" w:rsidRDefault="009304F9" w:rsidP="00B62A69">
                  <w:pPr>
                    <w:rPr>
                      <w:szCs w:val="28"/>
                    </w:rPr>
                  </w:pPr>
                  <w:r w:rsidRPr="00B62A69">
                    <w:rPr>
                      <w:b/>
                      <w:szCs w:val="28"/>
                    </w:rPr>
                    <w:t>Blend:</w:t>
                  </w:r>
                  <w:r>
                    <w:rPr>
                      <w:szCs w:val="28"/>
                    </w:rPr>
                    <w:t xml:space="preserve"> 75% Cabernet Sauvignon, 25% </w:t>
                  </w:r>
                  <w:proofErr w:type="spellStart"/>
                  <w:r>
                    <w:rPr>
                      <w:szCs w:val="28"/>
                    </w:rPr>
                    <w:t>Malbec</w:t>
                  </w:r>
                  <w:proofErr w:type="spellEnd"/>
                  <w:r w:rsidRPr="00B62A69">
                    <w:rPr>
                      <w:szCs w:val="28"/>
                    </w:rPr>
                    <w:t xml:space="preserve">   </w:t>
                  </w:r>
                </w:p>
                <w:p w:rsidR="009304F9" w:rsidRPr="00B62A69" w:rsidRDefault="009304F9" w:rsidP="00B62A69">
                  <w:pPr>
                    <w:rPr>
                      <w:szCs w:val="28"/>
                    </w:rPr>
                  </w:pPr>
                  <w:r w:rsidRPr="00B62A69">
                    <w:rPr>
                      <w:b/>
                      <w:szCs w:val="28"/>
                    </w:rPr>
                    <w:t>Vineyards:</w:t>
                  </w:r>
                  <w:r w:rsidRPr="00B62A69">
                    <w:rPr>
                      <w:szCs w:val="28"/>
                    </w:rPr>
                    <w:t xml:space="preserve"> 100% </w:t>
                  </w:r>
                  <w:proofErr w:type="spellStart"/>
                  <w:r w:rsidRPr="00B62A69">
                    <w:rPr>
                      <w:szCs w:val="28"/>
                    </w:rPr>
                    <w:t>Obelisco</w:t>
                  </w:r>
                  <w:proofErr w:type="spellEnd"/>
                  <w:r w:rsidRPr="00B62A69">
                    <w:rPr>
                      <w:szCs w:val="28"/>
                    </w:rPr>
                    <w:t xml:space="preserve"> </w:t>
                  </w:r>
                </w:p>
                <w:p w:rsidR="009304F9" w:rsidRPr="00B62A69" w:rsidRDefault="009304F9" w:rsidP="00B62A69">
                  <w:pPr>
                    <w:rPr>
                      <w:szCs w:val="28"/>
                    </w:rPr>
                  </w:pPr>
                  <w:r w:rsidRPr="00B62A69">
                    <w:rPr>
                      <w:b/>
                      <w:szCs w:val="28"/>
                    </w:rPr>
                    <w:t>Bottling:</w:t>
                  </w:r>
                  <w:r w:rsidR="00C97D14">
                    <w:rPr>
                      <w:szCs w:val="28"/>
                    </w:rPr>
                    <w:t xml:space="preserve"> 1067</w:t>
                  </w:r>
                  <w:r>
                    <w:rPr>
                      <w:szCs w:val="28"/>
                    </w:rPr>
                    <w:t xml:space="preserve"> cases 750ml   </w:t>
                  </w:r>
                </w:p>
                <w:p w:rsidR="009304F9" w:rsidRPr="00B62A69" w:rsidRDefault="009304F9" w:rsidP="00B62A69">
                  <w:pPr>
                    <w:rPr>
                      <w:szCs w:val="28"/>
                    </w:rPr>
                  </w:pPr>
                  <w:r w:rsidRPr="00B62A69">
                    <w:rPr>
                      <w:b/>
                      <w:szCs w:val="28"/>
                    </w:rPr>
                    <w:t>Alcohol:</w:t>
                  </w:r>
                  <w:r>
                    <w:rPr>
                      <w:szCs w:val="28"/>
                    </w:rPr>
                    <w:t xml:space="preserve"> 14.7</w:t>
                  </w:r>
                  <w:r w:rsidRPr="00B62A69">
                    <w:rPr>
                      <w:szCs w:val="28"/>
                    </w:rPr>
                    <w:t>% vol.</w:t>
                  </w:r>
                </w:p>
                <w:p w:rsidR="009304F9" w:rsidRPr="0068431C" w:rsidRDefault="009304F9" w:rsidP="00B62A69">
                  <w:pPr>
                    <w:rPr>
                      <w:szCs w:val="28"/>
                    </w:rPr>
                  </w:pPr>
                  <w:r w:rsidRPr="00B62A69">
                    <w:rPr>
                      <w:b/>
                      <w:szCs w:val="28"/>
                    </w:rPr>
                    <w:t>Barrels:</w:t>
                  </w:r>
                  <w:r w:rsidRPr="00B62A69">
                    <w:rPr>
                      <w:szCs w:val="28"/>
                    </w:rPr>
                    <w:t xml:space="preserve"> </w:t>
                  </w:r>
                  <w:r>
                    <w:rPr>
                      <w:szCs w:val="28"/>
                    </w:rPr>
                    <w:t xml:space="preserve">30% new </w:t>
                  </w:r>
                  <w:proofErr w:type="gramStart"/>
                  <w:r>
                    <w:rPr>
                      <w:szCs w:val="28"/>
                    </w:rPr>
                    <w:t>French</w:t>
                  </w:r>
                  <w:proofErr w:type="gramEnd"/>
                  <w:r>
                    <w:rPr>
                      <w:szCs w:val="28"/>
                    </w:rPr>
                    <w:t xml:space="preserve"> oak, 70% American neutral.</w:t>
                  </w:r>
                </w:p>
                <w:p w:rsidR="009304F9" w:rsidRPr="00B62A69" w:rsidRDefault="009304F9" w:rsidP="00B62A69">
                  <w:pPr>
                    <w:rPr>
                      <w:szCs w:val="28"/>
                    </w:rPr>
                  </w:pPr>
                </w:p>
                <w:p w:rsidR="009304F9" w:rsidRDefault="009304F9" w:rsidP="00B62A69">
                  <w:pPr>
                    <w:rPr>
                      <w:szCs w:val="28"/>
                    </w:rPr>
                  </w:pPr>
                  <w:r w:rsidRPr="00B62A69">
                    <w:rPr>
                      <w:b/>
                      <w:szCs w:val="28"/>
                    </w:rPr>
                    <w:t>Tasting Notes:</w:t>
                  </w:r>
                  <w:r w:rsidRPr="00B62A69">
                    <w:rPr>
                      <w:szCs w:val="28"/>
                    </w:rPr>
                    <w:t xml:space="preserve"> </w:t>
                  </w:r>
                  <w:r w:rsidRPr="0068431C">
                    <w:rPr>
                      <w:szCs w:val="28"/>
                    </w:rPr>
                    <w:t xml:space="preserve">Dark purple, red color. </w:t>
                  </w:r>
                  <w:r>
                    <w:rPr>
                      <w:szCs w:val="28"/>
                    </w:rPr>
                    <w:t>Dry, yet fruity nose full of dark berries, cherry, blackberries, with accents of spices like basil, and white pepper, followed by slight floral aromas of roses and eucalyptus.</w:t>
                  </w:r>
                  <w:r w:rsidRPr="0068431C">
                    <w:rPr>
                      <w:szCs w:val="28"/>
                    </w:rPr>
                    <w:t xml:space="preserve"> On the palate th</w:t>
                  </w:r>
                  <w:r>
                    <w:rPr>
                      <w:szCs w:val="28"/>
                    </w:rPr>
                    <w:t>is wine is full, rich and diverse yet dances on the tongue, led by fruit like blackberry, plum, and boysenberry. The fruit tannin blends nicely with notes of Mediterranean spices, clove, basil, cola, and hints of coffee</w:t>
                  </w:r>
                  <w:r w:rsidRPr="0068431C">
                    <w:rPr>
                      <w:szCs w:val="28"/>
                    </w:rPr>
                    <w:t>. T</w:t>
                  </w:r>
                  <w:r>
                    <w:rPr>
                      <w:szCs w:val="28"/>
                    </w:rPr>
                    <w:t>he mouth feel is full and complicated with flavors changing from front to back with a little bit of zing. Nicely balanced acids and tannins remind you of its’ Red Mt. origins and allows the flavors to linger.</w:t>
                  </w:r>
                  <w:r w:rsidRPr="0068431C">
                    <w:rPr>
                      <w:szCs w:val="28"/>
                    </w:rPr>
                    <w:t xml:space="preserve"> </w:t>
                  </w:r>
                </w:p>
                <w:p w:rsidR="009304F9" w:rsidRPr="00B62A69" w:rsidRDefault="009304F9" w:rsidP="00B62A69">
                  <w:pPr>
                    <w:rPr>
                      <w:szCs w:val="28"/>
                    </w:rPr>
                  </w:pPr>
                </w:p>
                <w:p w:rsidR="009304F9" w:rsidRPr="00B62A69" w:rsidRDefault="009304F9" w:rsidP="00B62A69">
                  <w:pPr>
                    <w:rPr>
                      <w:szCs w:val="28"/>
                    </w:rPr>
                  </w:pPr>
                  <w:r w:rsidRPr="00B62A69">
                    <w:rPr>
                      <w:b/>
                      <w:szCs w:val="28"/>
                    </w:rPr>
                    <w:t>Cellaring:</w:t>
                  </w:r>
                  <w:r w:rsidRPr="00B62A69">
                    <w:rPr>
                      <w:szCs w:val="28"/>
                    </w:rPr>
                    <w:t xml:space="preserve"> Because it is made from Red Mountain grapes this win</w:t>
                  </w:r>
                  <w:r>
                    <w:rPr>
                      <w:szCs w:val="28"/>
                    </w:rPr>
                    <w:t xml:space="preserve">e should age well for the next 15 to 18 </w:t>
                  </w:r>
                  <w:r w:rsidRPr="00B62A69">
                    <w:rPr>
                      <w:szCs w:val="28"/>
                    </w:rPr>
                    <w:t xml:space="preserve">years. Because it is mostly </w:t>
                  </w:r>
                  <w:proofErr w:type="spellStart"/>
                  <w:r w:rsidRPr="00B62A69">
                    <w:rPr>
                      <w:szCs w:val="28"/>
                    </w:rPr>
                    <w:t>Obelisco</w:t>
                  </w:r>
                  <w:proofErr w:type="spellEnd"/>
                  <w:r w:rsidRPr="00B62A69">
                    <w:rPr>
                      <w:szCs w:val="28"/>
                    </w:rPr>
                    <w:t xml:space="preserve"> f</w:t>
                  </w:r>
                  <w:r>
                    <w:rPr>
                      <w:szCs w:val="28"/>
                    </w:rPr>
                    <w:t>ruit it is ready to go at any time</w:t>
                  </w:r>
                  <w:r w:rsidRPr="00B62A69">
                    <w:rPr>
                      <w:szCs w:val="28"/>
                    </w:rPr>
                    <w:t>.</w:t>
                  </w:r>
                </w:p>
                <w:p w:rsidR="009304F9" w:rsidRDefault="009304F9" w:rsidP="00B62A69">
                  <w:pPr>
                    <w:rPr>
                      <w:sz w:val="28"/>
                      <w:szCs w:val="28"/>
                    </w:rPr>
                  </w:pPr>
                </w:p>
                <w:p w:rsidR="009304F9" w:rsidRPr="00B62A69" w:rsidRDefault="009304F9" w:rsidP="00B62A69">
                  <w:pPr>
                    <w:rPr>
                      <w:szCs w:val="28"/>
                    </w:rPr>
                  </w:pPr>
                  <w:r w:rsidRPr="00B62A69">
                    <w:rPr>
                      <w:b/>
                      <w:szCs w:val="28"/>
                    </w:rPr>
                    <w:t>Production:</w:t>
                  </w:r>
                  <w:r w:rsidRPr="00B62A69">
                    <w:rPr>
                      <w:szCs w:val="28"/>
                    </w:rPr>
                    <w:t xml:space="preserve"> all the fruit for this wine is from </w:t>
                  </w:r>
                  <w:proofErr w:type="spellStart"/>
                  <w:r w:rsidRPr="00B62A69">
                    <w:rPr>
                      <w:szCs w:val="28"/>
                    </w:rPr>
                    <w:t>Obelisco</w:t>
                  </w:r>
                  <w:proofErr w:type="spellEnd"/>
                  <w:r w:rsidRPr="00B62A69">
                    <w:rPr>
                      <w:szCs w:val="28"/>
                    </w:rPr>
                    <w:t xml:space="preserve"> Vineyard. The high density planting yields smaller berries, which contribute to the concentrated flavors, yet the fruit from this vineyard always makes wines with luxurious tannins and mouth feel. C</w:t>
                  </w:r>
                  <w:r>
                    <w:rPr>
                      <w:szCs w:val="28"/>
                    </w:rPr>
                    <w:t>ombine this with 20 months in 30</w:t>
                  </w:r>
                  <w:r w:rsidRPr="00B62A69">
                    <w:rPr>
                      <w:szCs w:val="28"/>
                    </w:rPr>
                    <w:t>% new oak and you get a wine that invitingly combines great fruit and oak.</w:t>
                  </w:r>
                </w:p>
                <w:p w:rsidR="009304F9" w:rsidRPr="00B62A69" w:rsidRDefault="009304F9" w:rsidP="00B62A69">
                  <w:pPr>
                    <w:rPr>
                      <w:szCs w:val="28"/>
                    </w:rPr>
                  </w:pPr>
                </w:p>
                <w:p w:rsidR="009304F9" w:rsidRPr="006C7CEB" w:rsidRDefault="009304F9">
                  <w:r w:rsidRPr="00B62A69">
                    <w:rPr>
                      <w:b/>
                      <w:szCs w:val="28"/>
                    </w:rPr>
                    <w:t>Harvest notes:</w:t>
                  </w:r>
                  <w:r w:rsidRPr="00B62A69">
                    <w:rPr>
                      <w:szCs w:val="28"/>
                    </w:rPr>
                    <w:t xml:space="preserve"> </w:t>
                  </w:r>
                  <w:r>
                    <w:rPr>
                      <w:szCs w:val="28"/>
                    </w:rPr>
                    <w:t>2014</w:t>
                  </w:r>
                  <w:r w:rsidRPr="006C7CEB">
                    <w:rPr>
                      <w:szCs w:val="28"/>
                    </w:rPr>
                    <w:t xml:space="preserve"> was a</w:t>
                  </w:r>
                  <w:r w:rsidR="00C97D14">
                    <w:rPr>
                      <w:szCs w:val="28"/>
                    </w:rPr>
                    <w:t xml:space="preserve">nother excellent, yet hotter weather vintage in Washington State. Yields seemed to be on the average at </w:t>
                  </w:r>
                  <w:proofErr w:type="spellStart"/>
                  <w:r w:rsidR="00C97D14">
                    <w:rPr>
                      <w:szCs w:val="28"/>
                    </w:rPr>
                    <w:t>Obelisco</w:t>
                  </w:r>
                  <w:proofErr w:type="spellEnd"/>
                  <w:r w:rsidR="00C97D14">
                    <w:rPr>
                      <w:szCs w:val="28"/>
                    </w:rPr>
                    <w:t xml:space="preserve"> Vineyard close to 3.8T per acre. Harvest was on average sooner than years past.</w:t>
                  </w:r>
                </w:p>
              </w:txbxContent>
            </v:textbox>
            <w10:wrap type="square"/>
          </v:shape>
        </w:pict>
      </w:r>
      <w:r w:rsidR="00B46467">
        <w:rPr>
          <w:sz w:val="23"/>
          <w:szCs w:val="28"/>
        </w:rPr>
        <w:t xml:space="preserve">                                                                               </w:t>
      </w:r>
      <w:r w:rsidR="0064757F">
        <w:rPr>
          <w:sz w:val="23"/>
          <w:szCs w:val="28"/>
        </w:rPr>
        <w:t xml:space="preserve">                                                                   </w:t>
      </w:r>
      <w:r w:rsidR="00E2762A">
        <w:rPr>
          <w:sz w:val="23"/>
          <w:szCs w:val="28"/>
        </w:rPr>
        <w:t xml:space="preserve">                                   </w:t>
      </w:r>
      <w:r w:rsidR="00B46467">
        <w:rPr>
          <w:sz w:val="23"/>
          <w:szCs w:val="28"/>
        </w:rPr>
        <w:t xml:space="preserve">  </w:t>
      </w:r>
    </w:p>
    <w:p w:rsidR="00A66CF9" w:rsidRDefault="009D5BB6" w:rsidP="00E2762A">
      <w:pPr>
        <w:ind w:left="-900" w:firstLine="1080"/>
        <w:rPr>
          <w:sz w:val="23"/>
          <w:szCs w:val="28"/>
        </w:rPr>
      </w:pPr>
      <w:r>
        <w:rPr>
          <w:sz w:val="23"/>
          <w:szCs w:val="28"/>
        </w:rPr>
        <w:tab/>
      </w:r>
      <w:r w:rsidR="0094668B">
        <w:rPr>
          <w:sz w:val="23"/>
          <w:szCs w:val="28"/>
        </w:rPr>
        <w:tab/>
      </w:r>
    </w:p>
    <w:p w:rsidR="002752EE" w:rsidRPr="0094668B" w:rsidRDefault="00626819" w:rsidP="00FB4764">
      <w:pPr>
        <w:ind w:left="-900" w:firstLine="1080"/>
        <w:rPr>
          <w:b/>
          <w:sz w:val="28"/>
          <w:szCs w:val="28"/>
        </w:rPr>
      </w:pPr>
      <w:r>
        <w:rPr>
          <w:b/>
          <w:noProof/>
          <w:sz w:val="28"/>
          <w:szCs w:val="28"/>
        </w:rPr>
        <w:pict>
          <v:shape id="_x0000_s1027" type="#_x0000_t202" style="position:absolute;left:0;text-align:left;margin-left:-423.25pt;margin-top:488.3pt;width:486pt;height:1in;z-index:251666432;mso-wrap-edited:f;mso-position-horizontal:absolute;mso-position-horizontal-relative:text;mso-position-vertical:absolute;mso-position-vertical-relative:text" wrapcoords="0 0 21600 0 21600 21600 0 21600 0 0" filled="f" stroked="f">
            <v:fill o:detectmouseclick="t"/>
            <v:textbox inset=",7.2pt,,7.2pt">
              <w:txbxContent>
                <w:p w:rsidR="009304F9" w:rsidRPr="00B62A69" w:rsidRDefault="009304F9">
                  <w:pPr>
                    <w:rPr>
                      <w:b/>
                      <w:sz w:val="32"/>
                    </w:rPr>
                  </w:pPr>
                  <w:r>
                    <w:rPr>
                      <w:b/>
                      <w:sz w:val="32"/>
                    </w:rPr>
                    <w:t xml:space="preserve">www.Obelisco.com                                                           </w:t>
                  </w:r>
                  <w:r>
                    <w:rPr>
                      <w:b/>
                      <w:noProof/>
                      <w:sz w:val="32"/>
                    </w:rPr>
                    <w:drawing>
                      <wp:inline distT="0" distB="0" distL="0" distR="0">
                        <wp:extent cx="731520" cy="731520"/>
                        <wp:effectExtent l="25400" t="0" r="5080" b="0"/>
                        <wp:docPr id="2" name="Picture 1" descr="QR code Obelis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 Obelisco.png"/>
                                <pic:cNvPicPr/>
                              </pic:nvPicPr>
                              <pic:blipFill>
                                <a:blip r:embed="rId5"/>
                                <a:stretch>
                                  <a:fillRect/>
                                </a:stretch>
                              </pic:blipFill>
                              <pic:spPr>
                                <a:xfrm>
                                  <a:off x="0" y="0"/>
                                  <a:ext cx="731520" cy="731520"/>
                                </a:xfrm>
                                <a:prstGeom prst="rect">
                                  <a:avLst/>
                                </a:prstGeom>
                              </pic:spPr>
                            </pic:pic>
                          </a:graphicData>
                        </a:graphic>
                      </wp:inline>
                    </w:drawing>
                  </w:r>
                </w:p>
              </w:txbxContent>
            </v:textbox>
          </v:shape>
        </w:pict>
      </w:r>
    </w:p>
    <w:sectPr w:rsidR="002752EE" w:rsidRPr="0094668B" w:rsidSect="00FB4764">
      <w:pgSz w:w="12240" w:h="15840"/>
      <w:pgMar w:top="900" w:right="1170" w:bottom="720" w:left="171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752EE"/>
    <w:rsid w:val="00045AE8"/>
    <w:rsid w:val="0006298A"/>
    <w:rsid w:val="0008479A"/>
    <w:rsid w:val="000E2BDC"/>
    <w:rsid w:val="001D4F4F"/>
    <w:rsid w:val="002247B2"/>
    <w:rsid w:val="002752EE"/>
    <w:rsid w:val="002A633F"/>
    <w:rsid w:val="002E42A7"/>
    <w:rsid w:val="00302A89"/>
    <w:rsid w:val="00343F51"/>
    <w:rsid w:val="00431345"/>
    <w:rsid w:val="0046230B"/>
    <w:rsid w:val="00484192"/>
    <w:rsid w:val="00555FAC"/>
    <w:rsid w:val="00595B13"/>
    <w:rsid w:val="005B3148"/>
    <w:rsid w:val="005B6678"/>
    <w:rsid w:val="005F2417"/>
    <w:rsid w:val="00624C82"/>
    <w:rsid w:val="00626819"/>
    <w:rsid w:val="0064757F"/>
    <w:rsid w:val="0068431C"/>
    <w:rsid w:val="00692A07"/>
    <w:rsid w:val="006B22E8"/>
    <w:rsid w:val="006C7CEB"/>
    <w:rsid w:val="006F6BF3"/>
    <w:rsid w:val="00701761"/>
    <w:rsid w:val="00723FC3"/>
    <w:rsid w:val="00725594"/>
    <w:rsid w:val="007D7C20"/>
    <w:rsid w:val="00807F20"/>
    <w:rsid w:val="00815610"/>
    <w:rsid w:val="00836C03"/>
    <w:rsid w:val="00847B71"/>
    <w:rsid w:val="008719EF"/>
    <w:rsid w:val="008952B9"/>
    <w:rsid w:val="008A62A0"/>
    <w:rsid w:val="009304F9"/>
    <w:rsid w:val="00941467"/>
    <w:rsid w:val="00944938"/>
    <w:rsid w:val="0094668B"/>
    <w:rsid w:val="00970F50"/>
    <w:rsid w:val="009B0B63"/>
    <w:rsid w:val="009D5BB6"/>
    <w:rsid w:val="009F0C93"/>
    <w:rsid w:val="00A0093D"/>
    <w:rsid w:val="00A2659C"/>
    <w:rsid w:val="00A66CF9"/>
    <w:rsid w:val="00AA55DF"/>
    <w:rsid w:val="00AB3C45"/>
    <w:rsid w:val="00B35C81"/>
    <w:rsid w:val="00B452D4"/>
    <w:rsid w:val="00B46467"/>
    <w:rsid w:val="00B62A69"/>
    <w:rsid w:val="00B71966"/>
    <w:rsid w:val="00BA0BFF"/>
    <w:rsid w:val="00BB3E23"/>
    <w:rsid w:val="00C363F4"/>
    <w:rsid w:val="00C97D14"/>
    <w:rsid w:val="00CA7820"/>
    <w:rsid w:val="00D009D0"/>
    <w:rsid w:val="00D30E8F"/>
    <w:rsid w:val="00D31CD2"/>
    <w:rsid w:val="00DD70AF"/>
    <w:rsid w:val="00E2762A"/>
    <w:rsid w:val="00E40425"/>
    <w:rsid w:val="00E60C6F"/>
    <w:rsid w:val="00E66385"/>
    <w:rsid w:val="00EC7AF8"/>
    <w:rsid w:val="00EF470F"/>
    <w:rsid w:val="00F02719"/>
    <w:rsid w:val="00F20D5B"/>
    <w:rsid w:val="00F57DFE"/>
    <w:rsid w:val="00F72C9D"/>
    <w:rsid w:val="00FA225F"/>
    <w:rsid w:val="00FB4764"/>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935D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AB3C45"/>
    <w:rPr>
      <w:color w:val="0000FF" w:themeColor="hyperlink"/>
      <w:u w:val="single"/>
    </w:rPr>
  </w:style>
  <w:style w:type="character" w:styleId="FollowedHyperlink">
    <w:name w:val="FollowedHyperlink"/>
    <w:basedOn w:val="DefaultParagraphFont"/>
    <w:uiPriority w:val="99"/>
    <w:semiHidden/>
    <w:unhideWhenUsed/>
    <w:rsid w:val="00AB3C4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29</Words>
  <Characters>168</Characters>
  <Application>Microsoft Macintosh Word</Application>
  <DocSecurity>0</DocSecurity>
  <Lines>1</Lines>
  <Paragraphs>1</Paragraphs>
  <ScaleCrop>false</ScaleCrop>
  <Company>Sirius Real Estate Group</Company>
  <LinksUpToDate>false</LinksUpToDate>
  <CharactersWithSpaces>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Abbott</dc:creator>
  <cp:keywords/>
  <cp:lastModifiedBy>Ken Abbott</cp:lastModifiedBy>
  <cp:revision>7</cp:revision>
  <cp:lastPrinted>2018-01-18T19:33:00Z</cp:lastPrinted>
  <dcterms:created xsi:type="dcterms:W3CDTF">2018-01-18T18:41:00Z</dcterms:created>
  <dcterms:modified xsi:type="dcterms:W3CDTF">2018-01-18T19:34:00Z</dcterms:modified>
</cp:coreProperties>
</file>