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1E6D" w14:textId="77777777" w:rsidR="002752EE" w:rsidRDefault="002752EE">
      <w:r>
        <w:tab/>
      </w:r>
      <w:r>
        <w:tab/>
        <w:t xml:space="preserve">   </w:t>
      </w:r>
      <w:r w:rsidR="00726129">
        <w:t xml:space="preserve">                 </w:t>
      </w:r>
      <w:r>
        <w:t xml:space="preserve"> </w:t>
      </w:r>
      <w:r w:rsidR="00726129">
        <w:t xml:space="preserve">           </w:t>
      </w:r>
      <w:r>
        <w:t xml:space="preserve">  </w:t>
      </w:r>
      <w:r w:rsidR="00726129" w:rsidRPr="00726129">
        <w:rPr>
          <w:noProof/>
        </w:rPr>
        <w:drawing>
          <wp:inline distT="0" distB="0" distL="0" distR="0" wp14:anchorId="407A9C1F" wp14:editId="3AC41D9D">
            <wp:extent cx="1236564" cy="914400"/>
            <wp:effectExtent l="25400" t="0" r="8036" b="0"/>
            <wp:docPr id="4" name="Picture 4" descr="Obelisco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liscoEstate.jpg"/>
                    <pic:cNvPicPr/>
                  </pic:nvPicPr>
                  <pic:blipFill>
                    <a:blip r:embed="rId4"/>
                    <a:stretch>
                      <a:fillRect/>
                    </a:stretch>
                  </pic:blipFill>
                  <pic:spPr>
                    <a:xfrm>
                      <a:off x="0" y="0"/>
                      <a:ext cx="1240278" cy="917147"/>
                    </a:xfrm>
                    <a:prstGeom prst="rect">
                      <a:avLst/>
                    </a:prstGeom>
                  </pic:spPr>
                </pic:pic>
              </a:graphicData>
            </a:graphic>
          </wp:inline>
        </w:drawing>
      </w:r>
    </w:p>
    <w:p w14:paraId="3B6D01CE" w14:textId="77777777" w:rsidR="002752EE" w:rsidRPr="00343F51" w:rsidRDefault="002752EE">
      <w:pPr>
        <w:rPr>
          <w:sz w:val="22"/>
        </w:rPr>
      </w:pPr>
    </w:p>
    <w:p w14:paraId="5FEB1D3E" w14:textId="55BF3439" w:rsidR="002752EE" w:rsidRPr="00343F51" w:rsidRDefault="00F63CD5" w:rsidP="00653466">
      <w:pPr>
        <w:jc w:val="center"/>
        <w:rPr>
          <w:b/>
          <w:sz w:val="32"/>
        </w:rPr>
      </w:pPr>
      <w:r>
        <w:rPr>
          <w:b/>
          <w:sz w:val="32"/>
        </w:rPr>
        <w:t>20</w:t>
      </w:r>
      <w:r w:rsidR="00484E0A">
        <w:rPr>
          <w:b/>
          <w:sz w:val="32"/>
        </w:rPr>
        <w:t>2</w:t>
      </w:r>
      <w:r w:rsidR="00A412C4">
        <w:rPr>
          <w:b/>
          <w:sz w:val="32"/>
        </w:rPr>
        <w:t>2</w:t>
      </w:r>
      <w:r w:rsidR="00A02598">
        <w:rPr>
          <w:b/>
          <w:sz w:val="32"/>
        </w:rPr>
        <w:t xml:space="preserve"> </w:t>
      </w:r>
      <w:proofErr w:type="spellStart"/>
      <w:r w:rsidR="00A02598">
        <w:rPr>
          <w:b/>
          <w:sz w:val="32"/>
        </w:rPr>
        <w:t>Obelisco</w:t>
      </w:r>
      <w:proofErr w:type="spellEnd"/>
      <w:r w:rsidR="00A02598">
        <w:rPr>
          <w:b/>
          <w:sz w:val="32"/>
        </w:rPr>
        <w:t xml:space="preserve"> </w:t>
      </w:r>
      <w:r w:rsidR="00484E0A">
        <w:rPr>
          <w:b/>
          <w:sz w:val="32"/>
        </w:rPr>
        <w:t>White Wine</w:t>
      </w:r>
    </w:p>
    <w:p w14:paraId="59CDB275" w14:textId="77777777" w:rsidR="002752EE" w:rsidRPr="00343F51" w:rsidRDefault="002752EE" w:rsidP="00F06655">
      <w:pPr>
        <w:jc w:val="both"/>
        <w:rPr>
          <w:sz w:val="22"/>
        </w:rPr>
      </w:pPr>
    </w:p>
    <w:p w14:paraId="434411AA" w14:textId="3EEEF3D6" w:rsidR="002752EE" w:rsidRPr="00A2659C" w:rsidRDefault="002752EE" w:rsidP="00F06655">
      <w:pPr>
        <w:jc w:val="both"/>
        <w:rPr>
          <w:sz w:val="23"/>
        </w:rPr>
      </w:pPr>
      <w:r w:rsidRPr="00A2659C">
        <w:rPr>
          <w:b/>
          <w:sz w:val="23"/>
        </w:rPr>
        <w:t>Winemakers:</w:t>
      </w:r>
      <w:r w:rsidRPr="00A2659C">
        <w:rPr>
          <w:sz w:val="23"/>
        </w:rPr>
        <w:t xml:space="preserve"> </w:t>
      </w:r>
      <w:r w:rsidR="00A02598">
        <w:rPr>
          <w:sz w:val="23"/>
          <w:szCs w:val="20"/>
        </w:rPr>
        <w:t>Ken Abbott</w:t>
      </w:r>
    </w:p>
    <w:p w14:paraId="25667476" w14:textId="121E7FE3" w:rsidR="002752EE" w:rsidRPr="00A2659C" w:rsidRDefault="00724991" w:rsidP="00F06655">
      <w:pPr>
        <w:jc w:val="both"/>
        <w:rPr>
          <w:sz w:val="23"/>
        </w:rPr>
      </w:pPr>
      <w:r>
        <w:rPr>
          <w:b/>
          <w:sz w:val="23"/>
        </w:rPr>
        <w:t>AVA:</w:t>
      </w:r>
      <w:r w:rsidR="003B2CAE">
        <w:rPr>
          <w:sz w:val="23"/>
        </w:rPr>
        <w:t xml:space="preserve"> </w:t>
      </w:r>
      <w:r w:rsidR="00A02598">
        <w:rPr>
          <w:sz w:val="23"/>
        </w:rPr>
        <w:t>Columbia Valley</w:t>
      </w:r>
      <w:r>
        <w:rPr>
          <w:sz w:val="23"/>
        </w:rPr>
        <w:t xml:space="preserve"> </w:t>
      </w:r>
    </w:p>
    <w:p w14:paraId="668E9434" w14:textId="790B531D" w:rsidR="00B47D8E" w:rsidRDefault="00A412C4" w:rsidP="00F06655">
      <w:pPr>
        <w:jc w:val="both"/>
        <w:rPr>
          <w:sz w:val="28"/>
          <w:szCs w:val="28"/>
        </w:rPr>
      </w:pPr>
      <w:r>
        <w:rPr>
          <w:b/>
          <w:noProof/>
          <w:sz w:val="23"/>
        </w:rPr>
        <w:drawing>
          <wp:anchor distT="0" distB="0" distL="114300" distR="114300" simplePos="0" relativeHeight="251660288" behindDoc="0" locked="0" layoutInCell="1" allowOverlap="1" wp14:anchorId="10B0ED66" wp14:editId="0AF69F00">
            <wp:simplePos x="0" y="0"/>
            <wp:positionH relativeFrom="column">
              <wp:posOffset>4061460</wp:posOffset>
            </wp:positionH>
            <wp:positionV relativeFrom="paragraph">
              <wp:posOffset>104140</wp:posOffset>
            </wp:positionV>
            <wp:extent cx="1877695" cy="231457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695" cy="2314575"/>
                    </a:xfrm>
                    <a:prstGeom prst="rect">
                      <a:avLst/>
                    </a:prstGeom>
                  </pic:spPr>
                </pic:pic>
              </a:graphicData>
            </a:graphic>
            <wp14:sizeRelV relativeFrom="margin">
              <wp14:pctHeight>0</wp14:pctHeight>
            </wp14:sizeRelV>
          </wp:anchor>
        </w:drawing>
      </w:r>
      <w:r w:rsidR="00343F51" w:rsidRPr="00A2659C">
        <w:rPr>
          <w:b/>
          <w:sz w:val="23"/>
        </w:rPr>
        <w:t>Blend:</w:t>
      </w:r>
      <w:r w:rsidR="002752EE" w:rsidRPr="00A2659C">
        <w:rPr>
          <w:sz w:val="23"/>
        </w:rPr>
        <w:t xml:space="preserve"> </w:t>
      </w:r>
      <w:r w:rsidR="00267B88">
        <w:rPr>
          <w:sz w:val="23"/>
          <w:szCs w:val="28"/>
        </w:rPr>
        <w:t>6</w:t>
      </w:r>
      <w:r>
        <w:rPr>
          <w:sz w:val="23"/>
          <w:szCs w:val="28"/>
        </w:rPr>
        <w:t>5</w:t>
      </w:r>
      <w:r w:rsidR="009C190C">
        <w:rPr>
          <w:sz w:val="23"/>
          <w:szCs w:val="28"/>
        </w:rPr>
        <w:t>% Sauvignon Blanc</w:t>
      </w:r>
      <w:r w:rsidR="00A02598">
        <w:rPr>
          <w:sz w:val="23"/>
          <w:szCs w:val="28"/>
        </w:rPr>
        <w:t xml:space="preserve">, </w:t>
      </w:r>
      <w:r w:rsidR="00267B88">
        <w:rPr>
          <w:sz w:val="23"/>
          <w:szCs w:val="28"/>
        </w:rPr>
        <w:t>3</w:t>
      </w:r>
      <w:r>
        <w:rPr>
          <w:sz w:val="23"/>
          <w:szCs w:val="28"/>
        </w:rPr>
        <w:t>5</w:t>
      </w:r>
      <w:r w:rsidR="00A02598">
        <w:rPr>
          <w:sz w:val="23"/>
          <w:szCs w:val="28"/>
        </w:rPr>
        <w:t>% Semillon</w:t>
      </w:r>
    </w:p>
    <w:p w14:paraId="06D877B8" w14:textId="7269C5FF" w:rsidR="002752EE" w:rsidRPr="00A2659C" w:rsidRDefault="00724991" w:rsidP="00F06655">
      <w:pPr>
        <w:jc w:val="both"/>
        <w:rPr>
          <w:sz w:val="23"/>
        </w:rPr>
      </w:pPr>
      <w:r w:rsidRPr="00724991">
        <w:rPr>
          <w:b/>
          <w:sz w:val="23"/>
        </w:rPr>
        <w:t>Case Production:</w:t>
      </w:r>
      <w:r w:rsidR="002074D8">
        <w:rPr>
          <w:sz w:val="23"/>
        </w:rPr>
        <w:t xml:space="preserve"> </w:t>
      </w:r>
      <w:r w:rsidR="00A412C4">
        <w:rPr>
          <w:sz w:val="23"/>
        </w:rPr>
        <w:t>208</w:t>
      </w:r>
    </w:p>
    <w:p w14:paraId="397585BE" w14:textId="7DC3EF5D" w:rsidR="006F6BF3" w:rsidRDefault="00343F51" w:rsidP="00F06655">
      <w:pPr>
        <w:jc w:val="both"/>
        <w:rPr>
          <w:sz w:val="23"/>
          <w:szCs w:val="28"/>
        </w:rPr>
      </w:pPr>
      <w:r w:rsidRPr="00A2659C">
        <w:rPr>
          <w:b/>
          <w:sz w:val="23"/>
        </w:rPr>
        <w:t>Alcohol:</w:t>
      </w:r>
      <w:r w:rsidR="002752EE" w:rsidRPr="00A2659C">
        <w:rPr>
          <w:sz w:val="23"/>
        </w:rPr>
        <w:t xml:space="preserve"> </w:t>
      </w:r>
      <w:r w:rsidR="002074D8">
        <w:rPr>
          <w:sz w:val="23"/>
          <w:szCs w:val="28"/>
        </w:rPr>
        <w:t>1</w:t>
      </w:r>
      <w:r w:rsidR="00267B88">
        <w:rPr>
          <w:sz w:val="23"/>
          <w:szCs w:val="28"/>
        </w:rPr>
        <w:t>4.</w:t>
      </w:r>
      <w:r w:rsidR="00A412C4">
        <w:rPr>
          <w:sz w:val="23"/>
          <w:szCs w:val="28"/>
        </w:rPr>
        <w:t>5</w:t>
      </w:r>
      <w:r w:rsidR="002752EE" w:rsidRPr="00A2659C">
        <w:rPr>
          <w:sz w:val="23"/>
          <w:szCs w:val="28"/>
        </w:rPr>
        <w:t>% vol.</w:t>
      </w:r>
    </w:p>
    <w:p w14:paraId="6C9890D4" w14:textId="77777777" w:rsidR="006F6BF3" w:rsidRDefault="006F6BF3" w:rsidP="00F06655">
      <w:pPr>
        <w:jc w:val="both"/>
        <w:rPr>
          <w:sz w:val="23"/>
          <w:szCs w:val="28"/>
        </w:rPr>
      </w:pPr>
    </w:p>
    <w:p w14:paraId="33F907CF" w14:textId="31AED1CB" w:rsidR="00726129" w:rsidRDefault="00726129" w:rsidP="00F06655">
      <w:pPr>
        <w:jc w:val="both"/>
        <w:rPr>
          <w:sz w:val="23"/>
          <w:szCs w:val="28"/>
        </w:rPr>
      </w:pPr>
      <w:r>
        <w:rPr>
          <w:b/>
          <w:sz w:val="23"/>
          <w:szCs w:val="28"/>
        </w:rPr>
        <w:t>Fermentation</w:t>
      </w:r>
      <w:r w:rsidR="006F6BF3">
        <w:rPr>
          <w:b/>
          <w:sz w:val="23"/>
          <w:szCs w:val="28"/>
        </w:rPr>
        <w:t xml:space="preserve">: </w:t>
      </w:r>
      <w:r>
        <w:rPr>
          <w:sz w:val="23"/>
          <w:szCs w:val="28"/>
        </w:rPr>
        <w:t>Stainless Steel</w:t>
      </w:r>
    </w:p>
    <w:p w14:paraId="73AD4E29" w14:textId="0DCDE221" w:rsidR="00726129" w:rsidRDefault="00726129" w:rsidP="00F06655">
      <w:pPr>
        <w:jc w:val="both"/>
        <w:rPr>
          <w:sz w:val="23"/>
          <w:szCs w:val="28"/>
        </w:rPr>
      </w:pPr>
      <w:r w:rsidRPr="00726129">
        <w:rPr>
          <w:b/>
          <w:sz w:val="23"/>
          <w:szCs w:val="28"/>
        </w:rPr>
        <w:t>Residual Sugar:</w:t>
      </w:r>
      <w:r w:rsidR="00A62C32">
        <w:rPr>
          <w:sz w:val="23"/>
          <w:szCs w:val="28"/>
        </w:rPr>
        <w:t xml:space="preserve"> .</w:t>
      </w:r>
      <w:r w:rsidR="006C100B">
        <w:rPr>
          <w:sz w:val="23"/>
          <w:szCs w:val="28"/>
        </w:rPr>
        <w:t>1</w:t>
      </w:r>
      <w:r w:rsidR="006E742B">
        <w:rPr>
          <w:sz w:val="23"/>
          <w:szCs w:val="28"/>
        </w:rPr>
        <w:t>%</w:t>
      </w:r>
    </w:p>
    <w:p w14:paraId="5A9C836A" w14:textId="4FD3602B" w:rsidR="00B47D8E" w:rsidRPr="00A02598" w:rsidRDefault="00726129" w:rsidP="00F06655">
      <w:pPr>
        <w:jc w:val="both"/>
        <w:rPr>
          <w:sz w:val="23"/>
          <w:szCs w:val="28"/>
        </w:rPr>
      </w:pPr>
      <w:r w:rsidRPr="00726129">
        <w:rPr>
          <w:b/>
          <w:sz w:val="23"/>
          <w:szCs w:val="28"/>
        </w:rPr>
        <w:t>Aging:</w:t>
      </w:r>
      <w:r>
        <w:rPr>
          <w:sz w:val="23"/>
          <w:szCs w:val="28"/>
        </w:rPr>
        <w:t xml:space="preserve"> Stainless Steel</w:t>
      </w:r>
      <w:r w:rsidR="00E82BF5">
        <w:rPr>
          <w:sz w:val="23"/>
          <w:szCs w:val="28"/>
        </w:rPr>
        <w:t xml:space="preserve"> for the S</w:t>
      </w:r>
      <w:r w:rsidR="00A412C4">
        <w:rPr>
          <w:sz w:val="23"/>
          <w:szCs w:val="28"/>
        </w:rPr>
        <w:t>emillon</w:t>
      </w:r>
      <w:r w:rsidR="00E82BF5">
        <w:rPr>
          <w:sz w:val="23"/>
          <w:szCs w:val="28"/>
        </w:rPr>
        <w:t xml:space="preserve">.  The </w:t>
      </w:r>
      <w:r w:rsidR="00A412C4">
        <w:rPr>
          <w:sz w:val="23"/>
          <w:szCs w:val="28"/>
        </w:rPr>
        <w:t>Sauvignon Blanc</w:t>
      </w:r>
      <w:r w:rsidR="00E82BF5">
        <w:rPr>
          <w:sz w:val="23"/>
          <w:szCs w:val="28"/>
        </w:rPr>
        <w:t xml:space="preserve"> </w:t>
      </w:r>
      <w:r w:rsidR="00A412C4">
        <w:rPr>
          <w:sz w:val="23"/>
          <w:szCs w:val="28"/>
        </w:rPr>
        <w:t>aged in French oak. 50% new, 50% neutral</w:t>
      </w:r>
      <w:r w:rsidR="00E82BF5">
        <w:rPr>
          <w:sz w:val="23"/>
          <w:szCs w:val="28"/>
        </w:rPr>
        <w:t>.</w:t>
      </w:r>
    </w:p>
    <w:p w14:paraId="416A518C" w14:textId="77777777" w:rsidR="002752EE" w:rsidRPr="00726129" w:rsidRDefault="002752EE" w:rsidP="00F06655">
      <w:pPr>
        <w:jc w:val="both"/>
      </w:pPr>
    </w:p>
    <w:p w14:paraId="26C7521C" w14:textId="01C11ABC" w:rsidR="002074D8" w:rsidRDefault="00A2659C" w:rsidP="00F06655">
      <w:pPr>
        <w:jc w:val="both"/>
      </w:pPr>
      <w:r w:rsidRPr="00726129">
        <w:rPr>
          <w:b/>
        </w:rPr>
        <w:t>Tasting Notes:</w:t>
      </w:r>
      <w:r w:rsidR="00343F51" w:rsidRPr="00726129">
        <w:t xml:space="preserve"> </w:t>
      </w:r>
      <w:r w:rsidR="004272C9">
        <w:t>There is a t</w:t>
      </w:r>
      <w:r w:rsidR="002074D8">
        <w:t xml:space="preserve">ranslucent </w:t>
      </w:r>
      <w:r w:rsidR="006C100B">
        <w:t>champagne</w:t>
      </w:r>
      <w:r w:rsidR="002074D8">
        <w:t xml:space="preserve"> color </w:t>
      </w:r>
      <w:r w:rsidR="004272C9">
        <w:t xml:space="preserve">that is clear </w:t>
      </w:r>
      <w:r w:rsidR="006C100B">
        <w:t>and light</w:t>
      </w:r>
      <w:r w:rsidR="002074D8">
        <w:t xml:space="preserve">. </w:t>
      </w:r>
      <w:r w:rsidR="006C100B">
        <w:t xml:space="preserve">The nose comes through with citrus zest, </w:t>
      </w:r>
      <w:proofErr w:type="gramStart"/>
      <w:r w:rsidR="006C100B">
        <w:t>kiwi</w:t>
      </w:r>
      <w:proofErr w:type="gramEnd"/>
      <w:r w:rsidR="006C100B">
        <w:t xml:space="preserve"> </w:t>
      </w:r>
      <w:r w:rsidR="006D38C0">
        <w:t>and</w:t>
      </w:r>
      <w:r w:rsidR="006C100B">
        <w:t xml:space="preserve"> a light vanilla along with crisp apple and light melon. The front of the palate starts with tart citrus, </w:t>
      </w:r>
      <w:proofErr w:type="gramStart"/>
      <w:r w:rsidR="006C100B">
        <w:t>starfruit</w:t>
      </w:r>
      <w:proofErr w:type="gramEnd"/>
      <w:r w:rsidR="006C100B">
        <w:t xml:space="preserve"> and lychee, then fades to ripe apple with some earthy and melon tones on the back of the palate. </w:t>
      </w:r>
      <w:r w:rsidR="00D179B6">
        <w:t>Unlike most white wines</w:t>
      </w:r>
      <w:r w:rsidR="006C100B">
        <w:t>, the finish sticks around</w:t>
      </w:r>
      <w:r w:rsidR="00D179B6">
        <w:t xml:space="preserve"> for a long while. The </w:t>
      </w:r>
      <w:proofErr w:type="spellStart"/>
      <w:r w:rsidR="00D179B6">
        <w:t>Sauv</w:t>
      </w:r>
      <w:proofErr w:type="spellEnd"/>
      <w:r w:rsidR="00D179B6">
        <w:t xml:space="preserve"> Blanc saw some oak, so there is some structure to the mouthfeel while the freshness of the Semillon rounds out the full palate experience</w:t>
      </w:r>
      <w:r w:rsidR="006D38C0">
        <w:t xml:space="preserve"> and adds structure of its’ own</w:t>
      </w:r>
      <w:r w:rsidR="00D179B6">
        <w:t xml:space="preserve">. Would be delicious with aged hard goat cheese and other hard cheeses like Parmesan, Reggiano. Perfect with blackened fish, chicken, clams, salads and would pair with sweet desserts easily. </w:t>
      </w:r>
    </w:p>
    <w:p w14:paraId="47A5C560" w14:textId="77777777" w:rsidR="00726129" w:rsidRDefault="00726129" w:rsidP="00F06655">
      <w:pPr>
        <w:jc w:val="both"/>
        <w:rPr>
          <w:rFonts w:cstheme="minorHAnsi"/>
          <w:szCs w:val="20"/>
        </w:rPr>
      </w:pPr>
    </w:p>
    <w:p w14:paraId="3D91DF79" w14:textId="20991ED0" w:rsidR="00726129" w:rsidRPr="00726129" w:rsidRDefault="00726129" w:rsidP="00726129">
      <w:pPr>
        <w:pStyle w:val="NoSpacing"/>
        <w:rPr>
          <w:rFonts w:cstheme="minorHAnsi"/>
          <w:sz w:val="24"/>
          <w:szCs w:val="20"/>
        </w:rPr>
      </w:pPr>
      <w:r w:rsidRPr="00726129">
        <w:rPr>
          <w:rFonts w:cstheme="minorHAnsi"/>
          <w:b/>
          <w:sz w:val="24"/>
          <w:szCs w:val="20"/>
        </w:rPr>
        <w:t>Harvest:</w:t>
      </w:r>
      <w:r w:rsidR="006E742B">
        <w:rPr>
          <w:rFonts w:cstheme="minorHAnsi"/>
          <w:sz w:val="24"/>
          <w:szCs w:val="20"/>
        </w:rPr>
        <w:t xml:space="preserve"> </w:t>
      </w:r>
      <w:r w:rsidR="009C190C">
        <w:rPr>
          <w:rFonts w:cstheme="minorHAnsi"/>
          <w:sz w:val="24"/>
          <w:szCs w:val="20"/>
        </w:rPr>
        <w:t xml:space="preserve"> </w:t>
      </w:r>
      <w:r w:rsidR="00A02598">
        <w:rPr>
          <w:rFonts w:cstheme="minorHAnsi"/>
          <w:sz w:val="24"/>
          <w:szCs w:val="20"/>
        </w:rPr>
        <w:t xml:space="preserve">The Sauvignon Blanc comes from the </w:t>
      </w:r>
      <w:proofErr w:type="spellStart"/>
      <w:r w:rsidR="00A02598">
        <w:rPr>
          <w:rFonts w:cstheme="minorHAnsi"/>
          <w:sz w:val="24"/>
          <w:szCs w:val="20"/>
        </w:rPr>
        <w:t>Sagemoor</w:t>
      </w:r>
      <w:proofErr w:type="spellEnd"/>
      <w:r w:rsidR="00A02598">
        <w:rPr>
          <w:rFonts w:cstheme="minorHAnsi"/>
          <w:sz w:val="24"/>
          <w:szCs w:val="20"/>
        </w:rPr>
        <w:t xml:space="preserve"> Group Gamache Vineyard and the Semillon comes from the Dionysus Vineyard.  Both of the locations warrant much longer hang time because the weather is much cooler than Red Mountain. While Red Mountain is perfect for Bordeaux reds, we would not want to plant these white vines on Red Mountain because they would ripen too quickly building sugars, but not flavors.  We chose to go off of Red Mountain for these white grapes to places where the grapes take a lot longer to ripen. Often these grapes are harvested after the Cabernet on Red Mountain. That is later in the season than most whites. The Sauvignon Blanc develops great stereotypical flavors while the viscosity of the Semillon improves the mouth</w:t>
      </w:r>
      <w:r w:rsidR="00F34C42">
        <w:rPr>
          <w:rFonts w:cstheme="minorHAnsi"/>
          <w:sz w:val="24"/>
          <w:szCs w:val="20"/>
        </w:rPr>
        <w:t xml:space="preserve"> </w:t>
      </w:r>
      <w:r w:rsidR="00A02598">
        <w:rPr>
          <w:rFonts w:cstheme="minorHAnsi"/>
          <w:sz w:val="24"/>
          <w:szCs w:val="20"/>
        </w:rPr>
        <w:t xml:space="preserve">feel and forces flavor to linger a bit longer. </w:t>
      </w:r>
      <w:r w:rsidR="00E82BF5">
        <w:rPr>
          <w:rFonts w:cstheme="minorHAnsi"/>
          <w:sz w:val="24"/>
          <w:szCs w:val="20"/>
        </w:rPr>
        <w:t>The 202</w:t>
      </w:r>
      <w:r w:rsidR="00D179B6">
        <w:rPr>
          <w:rFonts w:cstheme="minorHAnsi"/>
          <w:sz w:val="24"/>
          <w:szCs w:val="20"/>
        </w:rPr>
        <w:t xml:space="preserve">2 harvest was a plentiful and flavorful harvest.  The white grapes were ready early and had lots of </w:t>
      </w:r>
      <w:proofErr w:type="gramStart"/>
      <w:r w:rsidR="00D179B6">
        <w:rPr>
          <w:rFonts w:cstheme="minorHAnsi"/>
          <w:sz w:val="24"/>
          <w:szCs w:val="20"/>
        </w:rPr>
        <w:t>flavor</w:t>
      </w:r>
      <w:proofErr w:type="gramEnd"/>
      <w:r w:rsidR="00D179B6">
        <w:rPr>
          <w:rFonts w:cstheme="minorHAnsi"/>
          <w:sz w:val="24"/>
          <w:szCs w:val="20"/>
        </w:rPr>
        <w:t xml:space="preserve"> while the reds developed lots of flavor, but struggled to finish with sugar production. It was nice to see good yield after two years of very small yield in the fields.</w:t>
      </w:r>
      <w:r w:rsidR="00E82BF5">
        <w:rPr>
          <w:rFonts w:cstheme="minorHAnsi"/>
          <w:sz w:val="24"/>
          <w:szCs w:val="20"/>
        </w:rPr>
        <w:t xml:space="preserve"> </w:t>
      </w:r>
    </w:p>
    <w:p w14:paraId="2036F881" w14:textId="10D75C99" w:rsidR="00A66CF9" w:rsidRDefault="00A66CF9" w:rsidP="00726129">
      <w:pPr>
        <w:rPr>
          <w:sz w:val="23"/>
          <w:szCs w:val="28"/>
        </w:rPr>
      </w:pPr>
    </w:p>
    <w:p w14:paraId="77E834A4" w14:textId="77777777" w:rsidR="00FB4764" w:rsidRDefault="00FB4764" w:rsidP="00FB4764">
      <w:pPr>
        <w:ind w:left="-900" w:firstLine="1080"/>
        <w:rPr>
          <w:sz w:val="23"/>
          <w:szCs w:val="28"/>
        </w:rPr>
      </w:pPr>
    </w:p>
    <w:p w14:paraId="2238783B" w14:textId="77777777" w:rsidR="00F372AA" w:rsidRDefault="00AB3C45" w:rsidP="00726129">
      <w:pPr>
        <w:ind w:left="-900" w:firstLine="1080"/>
        <w:rPr>
          <w:b/>
          <w:sz w:val="28"/>
          <w:szCs w:val="28"/>
        </w:rPr>
      </w:pPr>
      <w:r>
        <w:rPr>
          <w:noProof/>
          <w:sz w:val="23"/>
          <w:szCs w:val="28"/>
        </w:rPr>
        <w:drawing>
          <wp:inline distT="0" distB="0" distL="0" distR="0" wp14:anchorId="5263E8EA" wp14:editId="5DEB41FB">
            <wp:extent cx="203200" cy="203200"/>
            <wp:effectExtent l="25400" t="0" r="0" b="0"/>
            <wp:docPr id="8" name="Picture 7" descr="facebook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gif"/>
                    <pic:cNvPicPr/>
                  </pic:nvPicPr>
                  <pic:blipFill>
                    <a:blip r:embed="rId6"/>
                    <a:stretch>
                      <a:fillRect/>
                    </a:stretch>
                  </pic:blipFill>
                  <pic:spPr>
                    <a:xfrm>
                      <a:off x="0" y="0"/>
                      <a:ext cx="203200" cy="203200"/>
                    </a:xfrm>
                    <a:prstGeom prst="rect">
                      <a:avLst/>
                    </a:prstGeom>
                  </pic:spPr>
                </pic:pic>
              </a:graphicData>
            </a:graphic>
          </wp:inline>
        </w:drawing>
      </w:r>
      <w:r>
        <w:rPr>
          <w:sz w:val="23"/>
          <w:szCs w:val="28"/>
        </w:rPr>
        <w:t xml:space="preserve"> </w:t>
      </w:r>
      <w:proofErr w:type="spellStart"/>
      <w:r w:rsidRPr="0094668B">
        <w:rPr>
          <w:b/>
          <w:sz w:val="28"/>
          <w:szCs w:val="28"/>
        </w:rPr>
        <w:t>Obelisco</w:t>
      </w:r>
      <w:proofErr w:type="spellEnd"/>
      <w:r w:rsidRPr="0094668B">
        <w:rPr>
          <w:b/>
          <w:sz w:val="28"/>
          <w:szCs w:val="28"/>
        </w:rPr>
        <w:tab/>
      </w:r>
      <w:r w:rsidR="00920008">
        <w:rPr>
          <w:b/>
          <w:sz w:val="28"/>
          <w:szCs w:val="28"/>
        </w:rPr>
        <w:t xml:space="preserve">               </w:t>
      </w:r>
      <w:r w:rsidR="0094668B">
        <w:rPr>
          <w:noProof/>
          <w:sz w:val="23"/>
          <w:szCs w:val="28"/>
        </w:rPr>
        <w:drawing>
          <wp:inline distT="0" distB="0" distL="0" distR="0" wp14:anchorId="254F2662" wp14:editId="68803C2A">
            <wp:extent cx="203200" cy="203200"/>
            <wp:effectExtent l="25400" t="0" r="0" b="0"/>
            <wp:docPr id="11" name="Picture 10" descr="twitter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mage.gif"/>
                    <pic:cNvPicPr/>
                  </pic:nvPicPr>
                  <pic:blipFill>
                    <a:blip r:embed="rId7"/>
                    <a:stretch>
                      <a:fillRect/>
                    </a:stretch>
                  </pic:blipFill>
                  <pic:spPr>
                    <a:xfrm>
                      <a:off x="0" y="0"/>
                      <a:ext cx="203200" cy="203200"/>
                    </a:xfrm>
                    <a:prstGeom prst="rect">
                      <a:avLst/>
                    </a:prstGeom>
                  </pic:spPr>
                </pic:pic>
              </a:graphicData>
            </a:graphic>
          </wp:inline>
        </w:drawing>
      </w:r>
      <w:r w:rsidR="0037139F">
        <w:rPr>
          <w:b/>
          <w:sz w:val="28"/>
          <w:szCs w:val="28"/>
        </w:rPr>
        <w:t xml:space="preserve">@Obelisco </w:t>
      </w:r>
      <w:r w:rsidR="0094668B" w:rsidRPr="0094668B">
        <w:rPr>
          <w:b/>
          <w:sz w:val="28"/>
          <w:szCs w:val="28"/>
        </w:rPr>
        <w:t>Estate</w:t>
      </w:r>
      <w:r w:rsidR="00726129">
        <w:rPr>
          <w:b/>
          <w:sz w:val="28"/>
          <w:szCs w:val="28"/>
        </w:rPr>
        <w:t xml:space="preserve">  </w:t>
      </w:r>
      <w:r w:rsidR="00920008">
        <w:rPr>
          <w:b/>
          <w:sz w:val="28"/>
          <w:szCs w:val="28"/>
        </w:rPr>
        <w:t xml:space="preserve">          </w:t>
      </w:r>
      <w:r w:rsidR="00726129">
        <w:rPr>
          <w:b/>
          <w:sz w:val="28"/>
          <w:szCs w:val="28"/>
        </w:rPr>
        <w:t xml:space="preserve">    </w:t>
      </w:r>
      <w:hyperlink r:id="rId8" w:history="1">
        <w:r w:rsidR="00920008" w:rsidRPr="00BA097C">
          <w:rPr>
            <w:rStyle w:val="Hyperlink"/>
            <w:b/>
            <w:sz w:val="28"/>
            <w:szCs w:val="28"/>
          </w:rPr>
          <w:t>www.obelisco.com</w:t>
        </w:r>
      </w:hyperlink>
      <w:r w:rsidR="00726129">
        <w:rPr>
          <w:b/>
          <w:sz w:val="28"/>
          <w:szCs w:val="28"/>
        </w:rPr>
        <w:t xml:space="preserve">  </w:t>
      </w:r>
    </w:p>
    <w:p w14:paraId="6B6944A0" w14:textId="77777777" w:rsidR="002752EE" w:rsidRPr="00726129" w:rsidRDefault="002752EE" w:rsidP="00726129">
      <w:pPr>
        <w:ind w:left="-900" w:firstLine="1080"/>
        <w:rPr>
          <w:sz w:val="23"/>
          <w:szCs w:val="28"/>
        </w:rPr>
      </w:pPr>
    </w:p>
    <w:sectPr w:rsidR="002752EE" w:rsidRPr="00726129" w:rsidSect="00FB4764">
      <w:pgSz w:w="12240" w:h="15840"/>
      <w:pgMar w:top="900" w:right="1170" w:bottom="720" w:left="1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EE"/>
    <w:rsid w:val="00014678"/>
    <w:rsid w:val="000156C0"/>
    <w:rsid w:val="000510CC"/>
    <w:rsid w:val="00074EC6"/>
    <w:rsid w:val="00087926"/>
    <w:rsid w:val="000A13D9"/>
    <w:rsid w:val="001A6D64"/>
    <w:rsid w:val="001E354A"/>
    <w:rsid w:val="002074D8"/>
    <w:rsid w:val="002656E8"/>
    <w:rsid w:val="00267B88"/>
    <w:rsid w:val="002752EE"/>
    <w:rsid w:val="002C34F8"/>
    <w:rsid w:val="002E553C"/>
    <w:rsid w:val="0030370C"/>
    <w:rsid w:val="00317306"/>
    <w:rsid w:val="00343F51"/>
    <w:rsid w:val="0036468A"/>
    <w:rsid w:val="0037139F"/>
    <w:rsid w:val="003B2CAE"/>
    <w:rsid w:val="004272C9"/>
    <w:rsid w:val="00430E31"/>
    <w:rsid w:val="0044777A"/>
    <w:rsid w:val="004676C3"/>
    <w:rsid w:val="00484E0A"/>
    <w:rsid w:val="004D6653"/>
    <w:rsid w:val="00535140"/>
    <w:rsid w:val="005F5602"/>
    <w:rsid w:val="00602CFE"/>
    <w:rsid w:val="00627F24"/>
    <w:rsid w:val="00653466"/>
    <w:rsid w:val="006B0060"/>
    <w:rsid w:val="006C100B"/>
    <w:rsid w:val="006C6574"/>
    <w:rsid w:val="006D38C0"/>
    <w:rsid w:val="006E742B"/>
    <w:rsid w:val="006F6BF3"/>
    <w:rsid w:val="00724991"/>
    <w:rsid w:val="00726129"/>
    <w:rsid w:val="007420D4"/>
    <w:rsid w:val="00761895"/>
    <w:rsid w:val="00790743"/>
    <w:rsid w:val="007F7E77"/>
    <w:rsid w:val="008952B9"/>
    <w:rsid w:val="00920008"/>
    <w:rsid w:val="0094668B"/>
    <w:rsid w:val="00997890"/>
    <w:rsid w:val="009B0B63"/>
    <w:rsid w:val="009C190C"/>
    <w:rsid w:val="00A02598"/>
    <w:rsid w:val="00A04E76"/>
    <w:rsid w:val="00A2571F"/>
    <w:rsid w:val="00A2659C"/>
    <w:rsid w:val="00A412C4"/>
    <w:rsid w:val="00A62C32"/>
    <w:rsid w:val="00A66CF9"/>
    <w:rsid w:val="00AA6DD5"/>
    <w:rsid w:val="00AB3C45"/>
    <w:rsid w:val="00AC7868"/>
    <w:rsid w:val="00AF28FE"/>
    <w:rsid w:val="00B35C81"/>
    <w:rsid w:val="00B467FD"/>
    <w:rsid w:val="00B47D8E"/>
    <w:rsid w:val="00B96A31"/>
    <w:rsid w:val="00BB7A2C"/>
    <w:rsid w:val="00CD0D39"/>
    <w:rsid w:val="00D179B6"/>
    <w:rsid w:val="00D62491"/>
    <w:rsid w:val="00D75B69"/>
    <w:rsid w:val="00DA2FA3"/>
    <w:rsid w:val="00E17B69"/>
    <w:rsid w:val="00E82BF5"/>
    <w:rsid w:val="00EF5A5B"/>
    <w:rsid w:val="00F06655"/>
    <w:rsid w:val="00F34C42"/>
    <w:rsid w:val="00F372AA"/>
    <w:rsid w:val="00F50257"/>
    <w:rsid w:val="00F63CD5"/>
    <w:rsid w:val="00F84B59"/>
    <w:rsid w:val="00FB4764"/>
    <w:rsid w:val="00FF0EF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1165"/>
  <w15:docId w15:val="{BD2EDAC3-FBDD-874F-BF80-F11A3401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5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3C45"/>
    <w:rPr>
      <w:color w:val="0000FF" w:themeColor="hyperlink"/>
      <w:u w:val="single"/>
    </w:rPr>
  </w:style>
  <w:style w:type="character" w:styleId="FollowedHyperlink">
    <w:name w:val="FollowedHyperlink"/>
    <w:basedOn w:val="DefaultParagraphFont"/>
    <w:uiPriority w:val="99"/>
    <w:semiHidden/>
    <w:unhideWhenUsed/>
    <w:rsid w:val="00AB3C45"/>
    <w:rPr>
      <w:color w:val="800080" w:themeColor="followedHyperlink"/>
      <w:u w:val="single"/>
    </w:rPr>
  </w:style>
  <w:style w:type="character" w:styleId="Emphasis">
    <w:name w:val="Emphasis"/>
    <w:basedOn w:val="DefaultParagraphFont"/>
    <w:uiPriority w:val="20"/>
    <w:rsid w:val="00AF28FE"/>
    <w:rPr>
      <w:i/>
    </w:rPr>
  </w:style>
  <w:style w:type="paragraph" w:styleId="NoSpacing">
    <w:name w:val="No Spacing"/>
    <w:uiPriority w:val="1"/>
    <w:qFormat/>
    <w:rsid w:val="0072612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elisco.com" TargetMode="Externa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Sirius Real Estate Group</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Abbott</dc:creator>
  <cp:keywords/>
  <cp:lastModifiedBy>Ken Abbott</cp:lastModifiedBy>
  <cp:revision>5</cp:revision>
  <cp:lastPrinted>2017-02-15T22:01:00Z</cp:lastPrinted>
  <dcterms:created xsi:type="dcterms:W3CDTF">2023-05-20T22:23:00Z</dcterms:created>
  <dcterms:modified xsi:type="dcterms:W3CDTF">2023-05-20T22:49:00Z</dcterms:modified>
</cp:coreProperties>
</file>