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752EE" w:rsidRDefault="00F02719">
      <w:r>
        <w:rPr>
          <w:noProof/>
        </w:rPr>
        <w:drawing>
          <wp:anchor distT="0" distB="0" distL="114300" distR="114300" simplePos="0" relativeHeight="251662336" behindDoc="1" locked="0" layoutInCell="1" allowOverlap="1">
            <wp:simplePos x="0" y="0"/>
            <wp:positionH relativeFrom="column">
              <wp:posOffset>2057400</wp:posOffset>
            </wp:positionH>
            <wp:positionV relativeFrom="paragraph">
              <wp:posOffset>-25400</wp:posOffset>
            </wp:positionV>
            <wp:extent cx="1365250" cy="1003300"/>
            <wp:effectExtent l="25400" t="0" r="6350" b="0"/>
            <wp:wrapNone/>
            <wp:docPr id="1" name="" descr="ObeliscoE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coEstate.png"/>
                    <pic:cNvPicPr/>
                  </pic:nvPicPr>
                  <pic:blipFill>
                    <a:blip r:embed="rId4"/>
                    <a:stretch>
                      <a:fillRect/>
                    </a:stretch>
                  </pic:blipFill>
                  <pic:spPr>
                    <a:xfrm>
                      <a:off x="0" y="0"/>
                      <a:ext cx="1365250" cy="1003300"/>
                    </a:xfrm>
                    <a:prstGeom prst="rect">
                      <a:avLst/>
                    </a:prstGeom>
                  </pic:spPr>
                </pic:pic>
              </a:graphicData>
            </a:graphic>
          </wp:anchor>
        </w:drawing>
      </w:r>
      <w:r w:rsidR="002752EE">
        <w:tab/>
      </w:r>
      <w:r w:rsidR="002752EE">
        <w:tab/>
        <w:t xml:space="preserve">      </w:t>
      </w:r>
    </w:p>
    <w:p w:rsidR="002752EE" w:rsidRPr="00343F51" w:rsidRDefault="002752EE" w:rsidP="00F02719">
      <w:pPr>
        <w:jc w:val="center"/>
        <w:rPr>
          <w:sz w:val="22"/>
        </w:rPr>
      </w:pPr>
    </w:p>
    <w:p w:rsidR="00AA55DF" w:rsidRDefault="00AA55DF" w:rsidP="00F02719">
      <w:pPr>
        <w:jc w:val="center"/>
        <w:rPr>
          <w:b/>
          <w:sz w:val="32"/>
        </w:rPr>
      </w:pPr>
    </w:p>
    <w:p w:rsidR="00AA55DF" w:rsidRDefault="00AA55DF">
      <w:pPr>
        <w:rPr>
          <w:b/>
          <w:sz w:val="32"/>
        </w:rPr>
      </w:pPr>
    </w:p>
    <w:p w:rsidR="00D30E8F" w:rsidRDefault="00D30E8F">
      <w:pPr>
        <w:rPr>
          <w:b/>
          <w:sz w:val="32"/>
        </w:rPr>
      </w:pPr>
    </w:p>
    <w:p w:rsidR="00E2762A" w:rsidRDefault="00944938" w:rsidP="00970F50">
      <w:pPr>
        <w:jc w:val="both"/>
        <w:rPr>
          <w:sz w:val="23"/>
          <w:szCs w:val="28"/>
        </w:rPr>
      </w:pPr>
      <w:r w:rsidRPr="00944938">
        <w:rPr>
          <w:noProof/>
        </w:rPr>
        <w:pict>
          <v:shapetype id="_x0000_t202" coordsize="21600,21600" o:spt="202" path="m0,0l0,21600,21600,21600,21600,0xe">
            <v:stroke joinstyle="miter"/>
            <v:path gradientshapeok="t" o:connecttype="rect"/>
          </v:shapetype>
          <v:shape id="_x0000_s1026" type="#_x0000_t202" style="position:absolute;left:0;text-align:left;margin-left:90pt;margin-top:6.8pt;width:396pt;height:540pt;z-index:251665408;mso-position-horizontal:absolute;mso-position-vertical:absolute" filled="f" stroked="f">
            <v:fill o:detectmouseclick="t"/>
            <v:textbox style="mso-next-textbox:#_x0000_s1026" inset=",7.2pt,,7.2pt">
              <w:txbxContent>
                <w:p w:rsidR="00B62A69" w:rsidRDefault="00EF470F" w:rsidP="00B62A69">
                  <w:pPr>
                    <w:rPr>
                      <w:b/>
                      <w:sz w:val="32"/>
                      <w:szCs w:val="32"/>
                    </w:rPr>
                  </w:pPr>
                  <w:r>
                    <w:rPr>
                      <w:b/>
                      <w:sz w:val="32"/>
                      <w:szCs w:val="32"/>
                    </w:rPr>
                    <w:t>2013</w:t>
                  </w:r>
                  <w:r w:rsidR="00595B13">
                    <w:rPr>
                      <w:b/>
                      <w:sz w:val="32"/>
                      <w:szCs w:val="32"/>
                    </w:rPr>
                    <w:t xml:space="preserve"> OBELISCO</w:t>
                  </w:r>
                  <w:r w:rsidR="00B62A69">
                    <w:rPr>
                      <w:b/>
                      <w:sz w:val="32"/>
                      <w:szCs w:val="32"/>
                    </w:rPr>
                    <w:t xml:space="preserve"> Cabernet Sauvignon </w:t>
                  </w:r>
                </w:p>
                <w:p w:rsidR="00B62A69" w:rsidRPr="00B62A69" w:rsidRDefault="00B62A69" w:rsidP="00B62A69">
                  <w:pPr>
                    <w:rPr>
                      <w:szCs w:val="28"/>
                    </w:rPr>
                  </w:pPr>
                  <w:r w:rsidRPr="00B62A69">
                    <w:rPr>
                      <w:b/>
                      <w:szCs w:val="28"/>
                    </w:rPr>
                    <w:t>AVA:</w:t>
                  </w:r>
                  <w:r w:rsidRPr="00B62A69">
                    <w:rPr>
                      <w:szCs w:val="28"/>
                    </w:rPr>
                    <w:t xml:space="preserve"> Red Mountain</w:t>
                  </w:r>
                </w:p>
                <w:p w:rsidR="00B62A69" w:rsidRPr="00B62A69" w:rsidRDefault="00B62A69" w:rsidP="00B62A69">
                  <w:pPr>
                    <w:rPr>
                      <w:szCs w:val="28"/>
                    </w:rPr>
                  </w:pPr>
                  <w:r w:rsidRPr="00B62A69">
                    <w:rPr>
                      <w:b/>
                      <w:szCs w:val="28"/>
                    </w:rPr>
                    <w:t>Winemakers:</w:t>
                  </w:r>
                  <w:r w:rsidRPr="00B62A69">
                    <w:rPr>
                      <w:szCs w:val="28"/>
                    </w:rPr>
                    <w:t xml:space="preserve"> Sarah </w:t>
                  </w:r>
                  <w:proofErr w:type="spellStart"/>
                  <w:r w:rsidRPr="00B62A69">
                    <w:rPr>
                      <w:szCs w:val="28"/>
                    </w:rPr>
                    <w:t>Goedhart</w:t>
                  </w:r>
                  <w:proofErr w:type="spellEnd"/>
                  <w:r w:rsidRPr="00B62A69">
                    <w:rPr>
                      <w:szCs w:val="28"/>
                    </w:rPr>
                    <w:t xml:space="preserve">, Pete Hedges, </w:t>
                  </w:r>
                  <w:proofErr w:type="gramStart"/>
                  <w:r w:rsidRPr="00B62A69">
                    <w:rPr>
                      <w:szCs w:val="28"/>
                    </w:rPr>
                    <w:t>Doug</w:t>
                  </w:r>
                  <w:proofErr w:type="gramEnd"/>
                  <w:r w:rsidRPr="00B62A69">
                    <w:rPr>
                      <w:szCs w:val="28"/>
                    </w:rPr>
                    <w:t xml:space="preserve"> Long</w:t>
                  </w:r>
                </w:p>
                <w:p w:rsidR="00B62A69" w:rsidRPr="00B62A69" w:rsidRDefault="00B62A69" w:rsidP="00B62A69">
                  <w:pPr>
                    <w:rPr>
                      <w:szCs w:val="28"/>
                    </w:rPr>
                  </w:pPr>
                  <w:r w:rsidRPr="00B62A69">
                    <w:rPr>
                      <w:b/>
                      <w:szCs w:val="28"/>
                    </w:rPr>
                    <w:t>Blend:</w:t>
                  </w:r>
                  <w:r w:rsidR="00EF470F">
                    <w:rPr>
                      <w:szCs w:val="28"/>
                    </w:rPr>
                    <w:t xml:space="preserve"> 75.4% Cabernet Sauvignon, 5.4% Merlot, 19.2</w:t>
                  </w:r>
                  <w:r w:rsidR="0068431C">
                    <w:rPr>
                      <w:szCs w:val="28"/>
                    </w:rPr>
                    <w:t xml:space="preserve">% </w:t>
                  </w:r>
                  <w:proofErr w:type="spellStart"/>
                  <w:r w:rsidR="0068431C">
                    <w:rPr>
                      <w:szCs w:val="28"/>
                    </w:rPr>
                    <w:t>Malbec</w:t>
                  </w:r>
                  <w:proofErr w:type="spellEnd"/>
                  <w:r w:rsidRPr="00B62A69">
                    <w:rPr>
                      <w:szCs w:val="28"/>
                    </w:rPr>
                    <w:t xml:space="preserve">   </w:t>
                  </w:r>
                </w:p>
                <w:p w:rsidR="00B62A69" w:rsidRPr="00B62A69" w:rsidRDefault="00B62A69" w:rsidP="00B62A69">
                  <w:pPr>
                    <w:rPr>
                      <w:szCs w:val="28"/>
                    </w:rPr>
                  </w:pPr>
                  <w:r w:rsidRPr="00B62A69">
                    <w:rPr>
                      <w:b/>
                      <w:szCs w:val="28"/>
                    </w:rPr>
                    <w:t>Vineyards:</w:t>
                  </w:r>
                  <w:r w:rsidRPr="00B62A69">
                    <w:rPr>
                      <w:szCs w:val="28"/>
                    </w:rPr>
                    <w:t xml:space="preserve"> 100% </w:t>
                  </w:r>
                  <w:proofErr w:type="spellStart"/>
                  <w:r w:rsidRPr="00B62A69">
                    <w:rPr>
                      <w:szCs w:val="28"/>
                    </w:rPr>
                    <w:t>Obelisco</w:t>
                  </w:r>
                  <w:proofErr w:type="spellEnd"/>
                  <w:r w:rsidRPr="00B62A69">
                    <w:rPr>
                      <w:szCs w:val="28"/>
                    </w:rPr>
                    <w:t xml:space="preserve"> </w:t>
                  </w:r>
                </w:p>
                <w:p w:rsidR="00B62A69" w:rsidRPr="00B62A69" w:rsidRDefault="00B62A69" w:rsidP="00B62A69">
                  <w:pPr>
                    <w:rPr>
                      <w:szCs w:val="28"/>
                    </w:rPr>
                  </w:pPr>
                  <w:r w:rsidRPr="00B62A69">
                    <w:rPr>
                      <w:b/>
                      <w:szCs w:val="28"/>
                    </w:rPr>
                    <w:t>Bottling:</w:t>
                  </w:r>
                  <w:r w:rsidR="00EF470F">
                    <w:rPr>
                      <w:szCs w:val="28"/>
                    </w:rPr>
                    <w:t xml:space="preserve"> 1214</w:t>
                  </w:r>
                  <w:r>
                    <w:rPr>
                      <w:szCs w:val="28"/>
                    </w:rPr>
                    <w:t xml:space="preserve"> cases 750ml </w:t>
                  </w:r>
                  <w:r w:rsidR="0068431C">
                    <w:rPr>
                      <w:szCs w:val="28"/>
                    </w:rPr>
                    <w:t xml:space="preserve">  </w:t>
                  </w:r>
                </w:p>
                <w:p w:rsidR="00B62A69" w:rsidRPr="00B62A69" w:rsidRDefault="00B62A69" w:rsidP="00B62A69">
                  <w:pPr>
                    <w:rPr>
                      <w:szCs w:val="28"/>
                    </w:rPr>
                  </w:pPr>
                  <w:r w:rsidRPr="00B62A69">
                    <w:rPr>
                      <w:b/>
                      <w:szCs w:val="28"/>
                    </w:rPr>
                    <w:t>Alcohol:</w:t>
                  </w:r>
                  <w:r w:rsidR="00EF470F">
                    <w:rPr>
                      <w:szCs w:val="28"/>
                    </w:rPr>
                    <w:t xml:space="preserve"> 14.5</w:t>
                  </w:r>
                  <w:r w:rsidRPr="00B62A69">
                    <w:rPr>
                      <w:szCs w:val="28"/>
                    </w:rPr>
                    <w:t>% vol.</w:t>
                  </w:r>
                </w:p>
                <w:p w:rsidR="00B62A69" w:rsidRPr="0068431C" w:rsidRDefault="00B62A69" w:rsidP="00B62A69">
                  <w:pPr>
                    <w:rPr>
                      <w:szCs w:val="28"/>
                    </w:rPr>
                  </w:pPr>
                  <w:r w:rsidRPr="00B62A69">
                    <w:rPr>
                      <w:b/>
                      <w:szCs w:val="28"/>
                    </w:rPr>
                    <w:t>Barrels:</w:t>
                  </w:r>
                  <w:r w:rsidRPr="00B62A69">
                    <w:rPr>
                      <w:szCs w:val="28"/>
                    </w:rPr>
                    <w:t xml:space="preserve"> </w:t>
                  </w:r>
                  <w:r w:rsidR="00EF470F">
                    <w:rPr>
                      <w:szCs w:val="28"/>
                    </w:rPr>
                    <w:t>40% new oak; approximately 50% American, 50</w:t>
                  </w:r>
                  <w:r w:rsidR="0068431C" w:rsidRPr="0068431C">
                    <w:rPr>
                      <w:szCs w:val="28"/>
                    </w:rPr>
                    <w:t>% French</w:t>
                  </w:r>
                </w:p>
                <w:p w:rsidR="00B62A69" w:rsidRPr="00B62A69" w:rsidRDefault="00B62A69" w:rsidP="00B62A69">
                  <w:pPr>
                    <w:rPr>
                      <w:szCs w:val="28"/>
                    </w:rPr>
                  </w:pPr>
                </w:p>
                <w:p w:rsidR="00B62A69" w:rsidRPr="00B62A69" w:rsidRDefault="00B62A69" w:rsidP="00B62A69">
                  <w:pPr>
                    <w:rPr>
                      <w:szCs w:val="28"/>
                    </w:rPr>
                  </w:pPr>
                  <w:r w:rsidRPr="00B62A69">
                    <w:rPr>
                      <w:b/>
                      <w:szCs w:val="28"/>
                    </w:rPr>
                    <w:t>Tasting Notes:</w:t>
                  </w:r>
                  <w:r w:rsidRPr="00B62A69">
                    <w:rPr>
                      <w:szCs w:val="28"/>
                    </w:rPr>
                    <w:t xml:space="preserve"> </w:t>
                  </w:r>
                  <w:r w:rsidR="0068431C" w:rsidRPr="0068431C">
                    <w:rPr>
                      <w:szCs w:val="28"/>
                    </w:rPr>
                    <w:t>Dark purple, red color. Sweet and spicy graham cracker, mincemeat, black cherry and black berry aromas with wet earth, vanilla and butterscotch pudding notes. On the palate this wine is full, rich and slightly sweet with blackberry fruit, mincemeat spice, toasted oak and hints of graham cracker, clove and vanilla. The mouth feel is lush and smooth on the entry, big and juicy on the mid-palate and finishes long with perfect balance of acid and tannins.</w:t>
                  </w:r>
                </w:p>
                <w:p w:rsidR="00B62A69" w:rsidRPr="00B62A69" w:rsidRDefault="00B62A69" w:rsidP="00B62A69">
                  <w:pPr>
                    <w:rPr>
                      <w:szCs w:val="28"/>
                    </w:rPr>
                  </w:pPr>
                </w:p>
                <w:p w:rsidR="00B62A69" w:rsidRPr="00B62A69" w:rsidRDefault="00B62A69" w:rsidP="00B62A69">
                  <w:pPr>
                    <w:rPr>
                      <w:szCs w:val="28"/>
                    </w:rPr>
                  </w:pPr>
                  <w:r w:rsidRPr="00B62A69">
                    <w:rPr>
                      <w:b/>
                      <w:szCs w:val="28"/>
                    </w:rPr>
                    <w:t>Cellaring:</w:t>
                  </w:r>
                  <w:r w:rsidRPr="00B62A69">
                    <w:rPr>
                      <w:szCs w:val="28"/>
                    </w:rPr>
                    <w:t xml:space="preserve"> Because it is made from Red Mountain grapes this win</w:t>
                  </w:r>
                  <w:r>
                    <w:rPr>
                      <w:szCs w:val="28"/>
                    </w:rPr>
                    <w:t>e</w:t>
                  </w:r>
                  <w:r w:rsidR="006C7CEB">
                    <w:rPr>
                      <w:szCs w:val="28"/>
                    </w:rPr>
                    <w:t xml:space="preserve"> should age well for the next 15 to 20</w:t>
                  </w:r>
                  <w:r>
                    <w:rPr>
                      <w:szCs w:val="28"/>
                    </w:rPr>
                    <w:t xml:space="preserve"> </w:t>
                  </w:r>
                  <w:r w:rsidRPr="00B62A69">
                    <w:rPr>
                      <w:szCs w:val="28"/>
                    </w:rPr>
                    <w:t xml:space="preserve">years. Because it is mostly </w:t>
                  </w:r>
                  <w:proofErr w:type="spellStart"/>
                  <w:r w:rsidRPr="00B62A69">
                    <w:rPr>
                      <w:szCs w:val="28"/>
                    </w:rPr>
                    <w:t>Obelisco</w:t>
                  </w:r>
                  <w:proofErr w:type="spellEnd"/>
                  <w:r w:rsidRPr="00B62A69">
                    <w:rPr>
                      <w:szCs w:val="28"/>
                    </w:rPr>
                    <w:t xml:space="preserve"> fruit it is soft and inviting now.</w:t>
                  </w:r>
                </w:p>
                <w:p w:rsidR="00B62A69" w:rsidRDefault="00B62A69" w:rsidP="00B62A69">
                  <w:pPr>
                    <w:rPr>
                      <w:sz w:val="28"/>
                      <w:szCs w:val="28"/>
                    </w:rPr>
                  </w:pPr>
                </w:p>
                <w:p w:rsidR="00B62A69" w:rsidRPr="00B62A69" w:rsidRDefault="00B62A69" w:rsidP="00B62A69">
                  <w:pPr>
                    <w:rPr>
                      <w:szCs w:val="28"/>
                    </w:rPr>
                  </w:pPr>
                  <w:r w:rsidRPr="00B62A69">
                    <w:rPr>
                      <w:b/>
                      <w:szCs w:val="28"/>
                    </w:rPr>
                    <w:t>Production:</w:t>
                  </w:r>
                  <w:r w:rsidRPr="00B62A69">
                    <w:rPr>
                      <w:szCs w:val="28"/>
                    </w:rPr>
                    <w:t xml:space="preserve"> all the fruit for this wine is from </w:t>
                  </w:r>
                  <w:proofErr w:type="spellStart"/>
                  <w:r w:rsidRPr="00B62A69">
                    <w:rPr>
                      <w:szCs w:val="28"/>
                    </w:rPr>
                    <w:t>Obelisco</w:t>
                  </w:r>
                  <w:proofErr w:type="spellEnd"/>
                  <w:r w:rsidRPr="00B62A69">
                    <w:rPr>
                      <w:szCs w:val="28"/>
                    </w:rPr>
                    <w:t xml:space="preserve"> Vineyard. The high density planting yields smaller berries, which contribute to the concentrated flavors, yet the fruit from this vineyard always makes wines with luxurious tannins and mouth feel. C</w:t>
                  </w:r>
                  <w:r w:rsidR="006C7CEB">
                    <w:rPr>
                      <w:szCs w:val="28"/>
                    </w:rPr>
                    <w:t>ombine this with 19 months in 20</w:t>
                  </w:r>
                  <w:r w:rsidRPr="00B62A69">
                    <w:rPr>
                      <w:szCs w:val="28"/>
                    </w:rPr>
                    <w:t>% new oak and you get a wine that invitingly combines great fruit and oak.</w:t>
                  </w:r>
                </w:p>
                <w:p w:rsidR="00B62A69" w:rsidRPr="00B62A69" w:rsidRDefault="00B62A69" w:rsidP="00B62A69">
                  <w:pPr>
                    <w:rPr>
                      <w:szCs w:val="28"/>
                    </w:rPr>
                  </w:pPr>
                </w:p>
                <w:p w:rsidR="00B62A69" w:rsidRPr="006C7CEB" w:rsidRDefault="00B62A69">
                  <w:r w:rsidRPr="00B62A69">
                    <w:rPr>
                      <w:b/>
                      <w:szCs w:val="28"/>
                    </w:rPr>
                    <w:t>Harvest notes:</w:t>
                  </w:r>
                  <w:r w:rsidRPr="00B62A69">
                    <w:rPr>
                      <w:szCs w:val="28"/>
                    </w:rPr>
                    <w:t xml:space="preserve"> </w:t>
                  </w:r>
                  <w:r w:rsidR="00EF470F">
                    <w:rPr>
                      <w:szCs w:val="28"/>
                    </w:rPr>
                    <w:t>2013</w:t>
                  </w:r>
                  <w:r w:rsidR="006C7CEB" w:rsidRPr="006C7CEB">
                    <w:rPr>
                      <w:szCs w:val="28"/>
                    </w:rPr>
                    <w:t xml:space="preserve"> was another excellent and more normal vintage in Washington State, </w:t>
                  </w:r>
                  <w:r w:rsidR="00EF470F">
                    <w:rPr>
                      <w:szCs w:val="28"/>
                    </w:rPr>
                    <w:t xml:space="preserve">although much warmer, </w:t>
                  </w:r>
                  <w:r w:rsidR="006C7CEB">
                    <w:rPr>
                      <w:szCs w:val="28"/>
                    </w:rPr>
                    <w:t xml:space="preserve">which was </w:t>
                  </w:r>
                  <w:r w:rsidR="006C7CEB" w:rsidRPr="006C7CEB">
                    <w:rPr>
                      <w:szCs w:val="28"/>
                    </w:rPr>
                    <w:t>a welcome change after the cooler and wetter 2010 and 2011 vintages</w:t>
                  </w:r>
                  <w:proofErr w:type="gramStart"/>
                  <w:r w:rsidR="006C7CEB" w:rsidRPr="006C7CEB">
                    <w:rPr>
                      <w:szCs w:val="28"/>
                    </w:rPr>
                    <w:t>..</w:t>
                  </w:r>
                  <w:proofErr w:type="gramEnd"/>
                </w:p>
              </w:txbxContent>
            </v:textbox>
            <w10:wrap type="square"/>
          </v:shape>
        </w:pict>
      </w:r>
      <w:r w:rsidR="00B46467">
        <w:rPr>
          <w:sz w:val="23"/>
          <w:szCs w:val="28"/>
        </w:rPr>
        <w:t xml:space="preserve">                                                                               </w:t>
      </w:r>
      <w:r w:rsidR="0064757F">
        <w:rPr>
          <w:sz w:val="23"/>
          <w:szCs w:val="28"/>
        </w:rPr>
        <w:t xml:space="preserve">                                                                   </w:t>
      </w:r>
      <w:r w:rsidR="00E2762A">
        <w:rPr>
          <w:sz w:val="23"/>
          <w:szCs w:val="28"/>
        </w:rPr>
        <w:t xml:space="preserve">                                   </w:t>
      </w:r>
      <w:r w:rsidR="00B46467">
        <w:rPr>
          <w:sz w:val="23"/>
          <w:szCs w:val="28"/>
        </w:rPr>
        <w:t xml:space="preserve">  </w:t>
      </w:r>
    </w:p>
    <w:p w:rsidR="00A66CF9" w:rsidRDefault="009D5BB6" w:rsidP="00E2762A">
      <w:pPr>
        <w:ind w:left="-900" w:firstLine="1080"/>
        <w:rPr>
          <w:sz w:val="23"/>
          <w:szCs w:val="28"/>
        </w:rPr>
      </w:pPr>
      <w:r>
        <w:rPr>
          <w:sz w:val="23"/>
          <w:szCs w:val="28"/>
        </w:rPr>
        <w:tab/>
      </w:r>
      <w:r w:rsidR="0094668B">
        <w:rPr>
          <w:sz w:val="23"/>
          <w:szCs w:val="28"/>
        </w:rPr>
        <w:tab/>
      </w:r>
    </w:p>
    <w:p w:rsidR="002752EE" w:rsidRPr="0094668B" w:rsidRDefault="00944938" w:rsidP="00FB4764">
      <w:pPr>
        <w:ind w:left="-900" w:firstLine="1080"/>
        <w:rPr>
          <w:b/>
          <w:sz w:val="28"/>
          <w:szCs w:val="28"/>
        </w:rPr>
      </w:pPr>
      <w:r>
        <w:rPr>
          <w:b/>
          <w:noProof/>
          <w:sz w:val="28"/>
          <w:szCs w:val="28"/>
        </w:rPr>
        <w:pict>
          <v:shape id="_x0000_s1027" type="#_x0000_t202" style="position:absolute;left:0;text-align:left;margin-left:0;margin-top:519.85pt;width:486pt;height:1in;z-index:251666432;mso-wrap-edited:f;mso-position-horizontal:absolute;mso-position-horizontal-relative:text;mso-position-vertical:absolute;mso-position-vertical-relative:text" wrapcoords="0 0 21600 0 21600 21600 0 21600 0 0" filled="f" stroked="f">
            <v:fill o:detectmouseclick="t"/>
            <v:textbox inset=",7.2pt,,7.2pt">
              <w:txbxContent>
                <w:p w:rsidR="00B62A69" w:rsidRPr="00B62A69" w:rsidRDefault="00B62A69">
                  <w:pPr>
                    <w:rPr>
                      <w:b/>
                      <w:sz w:val="32"/>
                    </w:rPr>
                  </w:pPr>
                  <w:r>
                    <w:rPr>
                      <w:b/>
                      <w:sz w:val="32"/>
                    </w:rPr>
                    <w:t xml:space="preserve">www.Obelisco.com                                                           </w:t>
                  </w:r>
                  <w:r w:rsidR="00836C03">
                    <w:rPr>
                      <w:b/>
                      <w:noProof/>
                      <w:sz w:val="32"/>
                    </w:rPr>
                    <w:drawing>
                      <wp:inline distT="0" distB="0" distL="0" distR="0">
                        <wp:extent cx="731520" cy="731520"/>
                        <wp:effectExtent l="25400" t="0" r="5080" b="0"/>
                        <wp:docPr id="2" name="Picture 1" descr="QR code Obeli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 Obelisco.png"/>
                                <pic:cNvPicPr/>
                              </pic:nvPicPr>
                              <pic:blipFill>
                                <a:blip r:embed="rId5"/>
                                <a:stretch>
                                  <a:fillRect/>
                                </a:stretch>
                              </pic:blipFill>
                              <pic:spPr>
                                <a:xfrm>
                                  <a:off x="0" y="0"/>
                                  <a:ext cx="731520" cy="731520"/>
                                </a:xfrm>
                                <a:prstGeom prst="rect">
                                  <a:avLst/>
                                </a:prstGeom>
                              </pic:spPr>
                            </pic:pic>
                          </a:graphicData>
                        </a:graphic>
                      </wp:inline>
                    </w:drawing>
                  </w:r>
                </w:p>
              </w:txbxContent>
            </v:textbox>
          </v:shape>
        </w:pict>
      </w:r>
    </w:p>
    <w:sectPr w:rsidR="002752EE" w:rsidRPr="0094668B" w:rsidSect="00FB4764">
      <w:pgSz w:w="12240" w:h="15840"/>
      <w:pgMar w:top="900" w:right="1170" w:bottom="720" w:left="171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752EE"/>
    <w:rsid w:val="00045AE8"/>
    <w:rsid w:val="0006298A"/>
    <w:rsid w:val="000E2BDC"/>
    <w:rsid w:val="001D4F4F"/>
    <w:rsid w:val="002247B2"/>
    <w:rsid w:val="002752EE"/>
    <w:rsid w:val="002A633F"/>
    <w:rsid w:val="002E42A7"/>
    <w:rsid w:val="00302A89"/>
    <w:rsid w:val="00343F51"/>
    <w:rsid w:val="00431345"/>
    <w:rsid w:val="0046230B"/>
    <w:rsid w:val="00555FAC"/>
    <w:rsid w:val="00595B13"/>
    <w:rsid w:val="005B3148"/>
    <w:rsid w:val="005F2417"/>
    <w:rsid w:val="00624C82"/>
    <w:rsid w:val="0064757F"/>
    <w:rsid w:val="0068431C"/>
    <w:rsid w:val="00692A07"/>
    <w:rsid w:val="006B22E8"/>
    <w:rsid w:val="006C7CEB"/>
    <w:rsid w:val="006F6BF3"/>
    <w:rsid w:val="00701761"/>
    <w:rsid w:val="00723FC3"/>
    <w:rsid w:val="00725594"/>
    <w:rsid w:val="00807F20"/>
    <w:rsid w:val="00815610"/>
    <w:rsid w:val="00836C03"/>
    <w:rsid w:val="00847B71"/>
    <w:rsid w:val="008952B9"/>
    <w:rsid w:val="008A62A0"/>
    <w:rsid w:val="00941467"/>
    <w:rsid w:val="00944938"/>
    <w:rsid w:val="0094668B"/>
    <w:rsid w:val="00970F50"/>
    <w:rsid w:val="009B0B63"/>
    <w:rsid w:val="009D5BB6"/>
    <w:rsid w:val="00A0093D"/>
    <w:rsid w:val="00A2659C"/>
    <w:rsid w:val="00A66CF9"/>
    <w:rsid w:val="00AA55DF"/>
    <w:rsid w:val="00AB3C45"/>
    <w:rsid w:val="00B35C81"/>
    <w:rsid w:val="00B452D4"/>
    <w:rsid w:val="00B46467"/>
    <w:rsid w:val="00B62A69"/>
    <w:rsid w:val="00BA0BFF"/>
    <w:rsid w:val="00BB3E23"/>
    <w:rsid w:val="00C363F4"/>
    <w:rsid w:val="00CA7820"/>
    <w:rsid w:val="00D009D0"/>
    <w:rsid w:val="00D30E8F"/>
    <w:rsid w:val="00D31CD2"/>
    <w:rsid w:val="00DD70AF"/>
    <w:rsid w:val="00E2762A"/>
    <w:rsid w:val="00E40425"/>
    <w:rsid w:val="00E60C6F"/>
    <w:rsid w:val="00E66385"/>
    <w:rsid w:val="00EC7AF8"/>
    <w:rsid w:val="00EF470F"/>
    <w:rsid w:val="00F02719"/>
    <w:rsid w:val="00F20D5B"/>
    <w:rsid w:val="00F57DFE"/>
    <w:rsid w:val="00F72C9D"/>
    <w:rsid w:val="00FA225F"/>
    <w:rsid w:val="00FB4764"/>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935D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B3C45"/>
    <w:rPr>
      <w:color w:val="0000FF" w:themeColor="hyperlink"/>
      <w:u w:val="single"/>
    </w:rPr>
  </w:style>
  <w:style w:type="character" w:styleId="FollowedHyperlink">
    <w:name w:val="FollowedHyperlink"/>
    <w:basedOn w:val="DefaultParagraphFont"/>
    <w:uiPriority w:val="99"/>
    <w:semiHidden/>
    <w:unhideWhenUsed/>
    <w:rsid w:val="00AB3C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169</Characters>
  <Application>Microsoft Macintosh Word</Application>
  <DocSecurity>0</DocSecurity>
  <Lines>1</Lines>
  <Paragraphs>1</Paragraphs>
  <ScaleCrop>false</ScaleCrop>
  <Company>Sirius Real Estate Group</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Abbott</dc:creator>
  <cp:keywords/>
  <cp:lastModifiedBy>Ken Abbott</cp:lastModifiedBy>
  <cp:revision>2</cp:revision>
  <cp:lastPrinted>2015-02-11T19:44:00Z</cp:lastPrinted>
  <dcterms:created xsi:type="dcterms:W3CDTF">2017-02-15T22:06:00Z</dcterms:created>
  <dcterms:modified xsi:type="dcterms:W3CDTF">2017-02-15T22:06:00Z</dcterms:modified>
</cp:coreProperties>
</file>